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CD63D2">
        <w:rPr>
          <w:rFonts w:ascii="Calibri" w:hAnsi="Calibri" w:cs="Calibri"/>
          <w:b/>
          <w:lang w:val="sr-Latn-CS"/>
        </w:rPr>
        <w:t>01</w:t>
      </w:r>
      <w:r w:rsidR="00007F24" w:rsidRPr="00A47E7E">
        <w:rPr>
          <w:rFonts w:ascii="Calibri" w:hAnsi="Calibri" w:cs="Calibri"/>
          <w:b/>
          <w:lang w:val="sr-Latn-CS"/>
        </w:rPr>
        <w:t>.</w:t>
      </w:r>
      <w:r w:rsidR="00CD63D2">
        <w:rPr>
          <w:rFonts w:ascii="Calibri" w:hAnsi="Calibri" w:cs="Calibri"/>
          <w:b/>
          <w:lang w:val="sr-Latn-CS"/>
        </w:rPr>
        <w:t>01</w:t>
      </w:r>
      <w:r w:rsidR="00CC444B" w:rsidRPr="00A47E7E">
        <w:rPr>
          <w:rFonts w:ascii="Calibri" w:hAnsi="Calibri" w:cs="Calibri"/>
          <w:b/>
          <w:lang w:val="sr-Latn-CS"/>
        </w:rPr>
        <w:t>.-</w:t>
      </w:r>
      <w:r w:rsidR="008938AD" w:rsidRPr="00A47E7E">
        <w:rPr>
          <w:rFonts w:ascii="Calibri" w:hAnsi="Calibri" w:cs="Calibri"/>
          <w:b/>
          <w:lang w:val="sr-Latn-CS"/>
        </w:rPr>
        <w:t>31</w:t>
      </w:r>
      <w:r w:rsidRPr="00A47E7E">
        <w:rPr>
          <w:rFonts w:ascii="Calibri" w:hAnsi="Calibri" w:cs="Calibri"/>
          <w:b/>
          <w:lang w:val="sr-Latn-CS"/>
        </w:rPr>
        <w:t>.</w:t>
      </w:r>
      <w:r w:rsidR="008938AD" w:rsidRPr="00A47E7E">
        <w:rPr>
          <w:rFonts w:ascii="Calibri" w:hAnsi="Calibri" w:cs="Calibri"/>
          <w:b/>
          <w:lang w:val="sr-Latn-CS"/>
        </w:rPr>
        <w:t>12</w:t>
      </w:r>
      <w:r w:rsidR="004D7275" w:rsidRPr="00A47E7E">
        <w:rPr>
          <w:rFonts w:ascii="Calibri" w:hAnsi="Calibri" w:cs="Calibri"/>
          <w:b/>
          <w:lang w:val="sr-Latn-CS"/>
        </w:rPr>
        <w:t>.201</w:t>
      </w:r>
      <w:r w:rsidR="00272CEA">
        <w:rPr>
          <w:rFonts w:ascii="Calibri" w:hAnsi="Calibri" w:cs="Calibri"/>
          <w:b/>
          <w:lang w:val="sr-Latn-CS"/>
        </w:rPr>
        <w:t>8</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272CEA">
        <w:rPr>
          <w:rFonts w:ascii="Calibri" w:hAnsi="Calibri" w:cs="Calibri"/>
          <w:lang w:val="sr-Latn-CS"/>
        </w:rPr>
        <w:t>februar 2019</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AB0372">
      <w:pPr>
        <w:pStyle w:val="TOC1"/>
        <w:rPr>
          <w:rFonts w:ascii="Calibri" w:hAnsi="Calibri"/>
          <w:noProof/>
          <w:sz w:val="22"/>
          <w:szCs w:val="22"/>
        </w:rPr>
      </w:pPr>
      <w:r w:rsidRPr="00AB0372">
        <w:lastRenderedPageBreak/>
        <w:fldChar w:fldCharType="begin"/>
      </w:r>
      <w:r w:rsidR="00B64A52" w:rsidRPr="00A47E7E">
        <w:instrText xml:space="preserve"> TOC \o "1-3" \h \z \u </w:instrText>
      </w:r>
      <w:r w:rsidRPr="00AB0372">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w:t>
        </w:r>
        <w:r w:rsidR="005B0018">
          <w:rPr>
            <w:rStyle w:val="Hyperlink"/>
            <w:rFonts w:ascii="Calibri" w:hAnsi="Calibri" w:cs="Calibri"/>
            <w:noProof/>
            <w:color w:val="auto"/>
          </w:rPr>
          <w:t>VU HOV SA FIKSNIM ROKOM DOSPJE i OSTALI 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2C09E1">
          <w:rPr>
            <w:b/>
            <w:bCs/>
            <w:noProof/>
            <w:webHidden/>
          </w:rPr>
          <w:t>Error! Bookmark not defined.</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Pr="00A47E7E" w:rsidRDefault="00AB0372">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09145D" w:rsidRDefault="00AB0372">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2C09E1">
          <w:rPr>
            <w:noProof/>
            <w:webHidden/>
          </w:rPr>
          <w:t>2</w:t>
        </w:r>
        <w:r w:rsidRPr="00A47E7E">
          <w:rPr>
            <w:noProof/>
            <w:webHidden/>
          </w:rPr>
          <w:fldChar w:fldCharType="end"/>
        </w:r>
      </w:hyperlink>
    </w:p>
    <w:p w:rsidR="00C84A1D" w:rsidRPr="00C84A1D" w:rsidRDefault="00C84A1D" w:rsidP="00C84A1D">
      <w:r w:rsidRPr="00532A52">
        <w:lastRenderedPageBreak/>
        <w:t>XXII</w:t>
      </w:r>
      <w:r w:rsidR="008F739F" w:rsidRPr="00532A52">
        <w:t>.</w:t>
      </w:r>
      <w:r w:rsidRPr="00532A52">
        <w:t xml:space="preserve"> </w:t>
      </w:r>
      <w:r w:rsidR="00532A52" w:rsidRPr="00532A52">
        <w:t>FINANSIJSKI INSTRUMENTI</w:t>
      </w:r>
      <w:r w:rsidRPr="00532A52">
        <w:t xml:space="preserve"> </w:t>
      </w:r>
      <w:r w:rsidR="008F739F" w:rsidRPr="00532A52">
        <w:t>………….……………………………….26</w:t>
      </w:r>
    </w:p>
    <w:p w:rsidR="00C84A1D" w:rsidRPr="00C84A1D" w:rsidRDefault="00C84A1D" w:rsidP="00C84A1D"/>
    <w:p w:rsidR="00B64A52" w:rsidRPr="00A47E7E" w:rsidRDefault="00AB0372" w:rsidP="0033169F">
      <w:pPr>
        <w:jc w:val="both"/>
        <w:rPr>
          <w:rFonts w:ascii="Calibri" w:hAnsi="Calibri" w:cs="Calibri"/>
        </w:rPr>
      </w:pPr>
      <w:r w:rsidRPr="00A47E7E">
        <w:rPr>
          <w:rFonts w:ascii="Calibri" w:hAnsi="Calibri" w:cs="Calibri"/>
        </w:rPr>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Pr="00A47E7E" w:rsidRDefault="00665200" w:rsidP="00F64D1D">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od </w:t>
      </w:r>
      <w:r w:rsidR="00F64D1D" w:rsidRPr="00C113C7">
        <w:rPr>
          <w:rFonts w:ascii="Calibri" w:hAnsi="Calibri" w:cs="Calibri"/>
          <w:lang w:val="sr-Latn-CS"/>
        </w:rPr>
        <w:t>03.10</w:t>
      </w:r>
      <w:r w:rsidR="00F64D1D" w:rsidRPr="00A47E7E">
        <w:rPr>
          <w:rFonts w:ascii="Calibri" w:hAnsi="Calibri" w:cs="Calibri"/>
          <w:lang w:val="sr-Latn-CS"/>
        </w:rPr>
        <w:t>.2017.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za poslovnu 201</w:t>
      </w:r>
      <w:r w:rsidR="008938AD" w:rsidRPr="00A47E7E">
        <w:rPr>
          <w:rFonts w:ascii="Calibri" w:hAnsi="Calibri" w:cs="Calibri"/>
          <w:lang w:val="sr-Latn-CS"/>
        </w:rPr>
        <w:t>7</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odinu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w:t>
      </w:r>
      <w:r w:rsidRPr="00A47E7E">
        <w:rPr>
          <w:rFonts w:ascii="Calibri" w:hAnsi="Calibri" w:cs="Calibri"/>
          <w:sz w:val="24"/>
          <w:szCs w:val="24"/>
          <w:lang w:val="sr-Latn-CS" w:eastAsia="en-US"/>
        </w:rPr>
        <w:lastRenderedPageBreak/>
        <w:t xml:space="preserve">MRS/MSFI (objavljenih do 01. Januara 2009. godine)“, a na osnovu „Odluke o ovlašćenjima 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lastRenderedPageBreak/>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kao "raspoloživ za prodaju", koji se javlja kao posljedica promjene fer vrijednosti finansijskog sredstva, se priznaje direktno u </w:t>
      </w:r>
      <w:r w:rsidRPr="00A47E7E">
        <w:rPr>
          <w:rFonts w:ascii="Calibri" w:hAnsi="Calibri" w:cs="Calibri"/>
          <w:noProof/>
          <w:sz w:val="24"/>
          <w:szCs w:val="24"/>
          <w:lang w:val="sr-Latn-BA"/>
        </w:rPr>
        <w:lastRenderedPageBreak/>
        <w:t>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lastRenderedPageBreak/>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w:t>
      </w:r>
      <w:r w:rsidRPr="00A47E7E">
        <w:rPr>
          <w:rFonts w:ascii="Calibri" w:hAnsi="Calibri" w:cs="Calibri"/>
          <w:noProof/>
        </w:rPr>
        <w:lastRenderedPageBreak/>
        <w:t>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Default="00F014B7" w:rsidP="006060FF">
      <w:pPr>
        <w:tabs>
          <w:tab w:val="left" w:pos="-1440"/>
          <w:tab w:val="left" w:pos="-720"/>
          <w:tab w:val="left" w:pos="889"/>
          <w:tab w:val="left" w:pos="1231"/>
          <w:tab w:val="right" w:pos="8960"/>
        </w:tabs>
        <w:jc w:val="both"/>
        <w:rPr>
          <w:rFonts w:ascii="Calibri" w:hAnsi="Calibri" w:cs="Calibri"/>
          <w:noProof/>
        </w:rPr>
      </w:pPr>
    </w:p>
    <w:p w:rsidR="00044C85" w:rsidRPr="00A47E7E" w:rsidRDefault="00044C85" w:rsidP="006060FF">
      <w:pPr>
        <w:tabs>
          <w:tab w:val="left" w:pos="-1440"/>
          <w:tab w:val="left" w:pos="-720"/>
          <w:tab w:val="left" w:pos="889"/>
          <w:tab w:val="left" w:pos="1231"/>
          <w:tab w:val="right" w:pos="8960"/>
        </w:tabs>
        <w:jc w:val="both"/>
        <w:rPr>
          <w:rFonts w:ascii="Calibri" w:hAnsi="Calibri" w:cs="Calibri"/>
          <w:noProof/>
        </w:rPr>
      </w:pPr>
    </w:p>
    <w:p w:rsidR="00C50773" w:rsidRPr="00C048EE" w:rsidRDefault="00EF35D6" w:rsidP="00C048EE">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9424" w:type="dxa"/>
        <w:tblInd w:w="99" w:type="dxa"/>
        <w:tblLook w:val="04A0"/>
      </w:tblPr>
      <w:tblGrid>
        <w:gridCol w:w="4122"/>
        <w:gridCol w:w="2110"/>
        <w:gridCol w:w="1535"/>
        <w:gridCol w:w="1657"/>
      </w:tblGrid>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proofErr w:type="spellStart"/>
            <w:r>
              <w:rPr>
                <w:rFonts w:ascii="Calibri" w:hAnsi="Calibri"/>
                <w:b/>
                <w:bCs/>
                <w:i/>
                <w:iCs/>
                <w:color w:val="000000"/>
              </w:rPr>
              <w:t>Prihodi</w:t>
            </w:r>
            <w:proofErr w:type="spellEnd"/>
            <w:r>
              <w:rPr>
                <w:rFonts w:ascii="Calibri" w:hAnsi="Calibri"/>
                <w:b/>
                <w:bCs/>
                <w:i/>
                <w:iCs/>
                <w:color w:val="000000"/>
              </w:rPr>
              <w:t xml:space="preserve"> </w:t>
            </w:r>
            <w:proofErr w:type="spellStart"/>
            <w:r>
              <w:rPr>
                <w:rFonts w:ascii="Calibri" w:hAnsi="Calibri"/>
                <w:b/>
                <w:bCs/>
                <w:i/>
                <w:iCs/>
                <w:color w:val="000000"/>
              </w:rPr>
              <w:t>od</w:t>
            </w:r>
            <w:proofErr w:type="spellEnd"/>
            <w:r>
              <w:rPr>
                <w:rFonts w:ascii="Calibri" w:hAnsi="Calibri"/>
                <w:b/>
                <w:bCs/>
                <w:i/>
                <w:iCs/>
                <w:color w:val="000000"/>
              </w:rPr>
              <w:t xml:space="preserve"> </w:t>
            </w:r>
            <w:proofErr w:type="spellStart"/>
            <w:r>
              <w:rPr>
                <w:rFonts w:ascii="Calibri" w:hAnsi="Calibri"/>
                <w:b/>
                <w:bCs/>
                <w:i/>
                <w:iCs/>
                <w:color w:val="000000"/>
              </w:rPr>
              <w:t>dividendi</w:t>
            </w:r>
            <w:proofErr w:type="spellEnd"/>
            <w:r>
              <w:rPr>
                <w:rFonts w:ascii="Calibri" w:hAnsi="Calibri"/>
                <w:b/>
                <w:bCs/>
                <w:i/>
                <w:i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r>
              <w:rPr>
                <w:rFonts w:ascii="Calibri" w:hAnsi="Calibri"/>
                <w:b/>
                <w:bCs/>
                <w:i/>
                <w:iCs/>
                <w:color w:val="000000"/>
              </w:rPr>
              <w:t xml:space="preserve">u </w:t>
            </w:r>
            <w:proofErr w:type="spellStart"/>
            <w:r>
              <w:rPr>
                <w:rFonts w:ascii="Calibri" w:hAnsi="Calibri"/>
                <w:b/>
                <w:bCs/>
                <w:i/>
                <w:iCs/>
                <w:color w:val="000000"/>
              </w:rPr>
              <w:t>novcu</w:t>
            </w:r>
            <w:proofErr w:type="spellEnd"/>
            <w:r>
              <w:rPr>
                <w:rFonts w:ascii="Calibri" w:hAnsi="Calibri"/>
                <w:b/>
                <w:bCs/>
                <w:i/>
                <w:iCs/>
                <w:color w:val="000000"/>
              </w:rPr>
              <w:t xml:space="preserve">- </w:t>
            </w:r>
            <w:proofErr w:type="spellStart"/>
            <w:r>
              <w:rPr>
                <w:rFonts w:ascii="Calibri" w:hAnsi="Calibri"/>
                <w:b/>
                <w:bCs/>
                <w:i/>
                <w:iCs/>
                <w:color w:val="000000"/>
              </w:rPr>
              <w:t>domaći</w:t>
            </w:r>
            <w:proofErr w:type="spellEnd"/>
            <w:r>
              <w:rPr>
                <w:rFonts w:ascii="Calibri" w:hAnsi="Calibri"/>
                <w:b/>
                <w:bCs/>
                <w:i/>
                <w:iCs/>
                <w:color w:val="000000"/>
              </w:rPr>
              <w:t xml:space="preserve"> </w:t>
            </w:r>
            <w:proofErr w:type="spellStart"/>
            <w:r>
              <w:rPr>
                <w:rFonts w:ascii="Calibri" w:hAnsi="Calibri"/>
                <w:b/>
                <w:bCs/>
                <w:i/>
                <w:iCs/>
                <w:color w:val="000000"/>
              </w:rPr>
              <w:t>emiteteniti</w:t>
            </w:r>
            <w:proofErr w:type="spellEnd"/>
            <w:r>
              <w:rPr>
                <w:rFonts w:ascii="Calibri" w:hAnsi="Calibri"/>
                <w:b/>
                <w:bCs/>
                <w:i/>
                <w:iCs/>
                <w:color w:val="000000"/>
              </w:rPr>
              <w:t>:</w:t>
            </w:r>
          </w:p>
        </w:tc>
        <w:tc>
          <w:tcPr>
            <w:tcW w:w="2110" w:type="dxa"/>
            <w:tcBorders>
              <w:top w:val="nil"/>
              <w:left w:val="nil"/>
              <w:bottom w:val="nil"/>
              <w:right w:val="nil"/>
            </w:tcBorders>
            <w:shd w:val="clear" w:color="auto" w:fill="auto"/>
            <w:noWrap/>
            <w:vAlign w:val="bottom"/>
            <w:hideMark/>
          </w:tcPr>
          <w:p w:rsidR="00875733" w:rsidRDefault="00875733">
            <w:pPr>
              <w:rPr>
                <w:color w:val="000000"/>
              </w:rPr>
            </w:pP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Telekom </w:t>
            </w:r>
            <w:proofErr w:type="spellStart"/>
            <w:r>
              <w:rPr>
                <w:rFonts w:ascii="Calibri" w:hAnsi="Calibri"/>
                <w:color w:val="000000"/>
              </w:rPr>
              <w:t>Srpske</w:t>
            </w:r>
            <w:proofErr w:type="spellEnd"/>
            <w:r>
              <w:rPr>
                <w:rFonts w:ascii="Calibri" w:hAnsi="Calibri"/>
                <w:color w:val="000000"/>
              </w:rPr>
              <w:t xml:space="preserve"> </w:t>
            </w:r>
            <w:proofErr w:type="spellStart"/>
            <w:r>
              <w:rPr>
                <w:rFonts w:ascii="Calibri" w:hAnsi="Calibri"/>
                <w:color w:val="000000"/>
              </w:rPr>
              <w:t>a.d</w:t>
            </w:r>
            <w:proofErr w:type="spellEnd"/>
            <w:r>
              <w:rPr>
                <w:rFonts w:ascii="Calibri" w:hAnsi="Calibri"/>
                <w:color w:val="000000"/>
              </w:rPr>
              <w:t xml:space="preserve">. </w:t>
            </w:r>
            <w:proofErr w:type="spellStart"/>
            <w:r>
              <w:rPr>
                <w:rFonts w:ascii="Calibri" w:hAnsi="Calibri"/>
                <w:color w:val="000000"/>
              </w:rPr>
              <w:t>Banja</w:t>
            </w:r>
            <w:proofErr w:type="spellEnd"/>
            <w:r>
              <w:rPr>
                <w:rFonts w:ascii="Calibri" w:hAnsi="Calibri"/>
                <w:color w:val="000000"/>
              </w:rPr>
              <w:t xml:space="preserve"> Luka</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rPr>
            </w:pPr>
            <w:r>
              <w:rPr>
                <w:rFonts w:ascii="Calibri" w:hAnsi="Calibri"/>
                <w:color w:val="000000"/>
              </w:rPr>
              <w:t>182.633,60</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r>
              <w:rPr>
                <w:rFonts w:ascii="Calibri" w:hAnsi="Calibri"/>
                <w:color w:val="000000"/>
              </w:rPr>
              <w:t>83.023,77</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BH Telekom </w:t>
            </w:r>
            <w:proofErr w:type="spellStart"/>
            <w:r>
              <w:rPr>
                <w:rFonts w:ascii="Calibri" w:hAnsi="Calibri"/>
                <w:color w:val="000000"/>
              </w:rPr>
              <w:t>dd</w:t>
            </w:r>
            <w:proofErr w:type="spellEnd"/>
            <w:r>
              <w:rPr>
                <w:rFonts w:ascii="Calibri" w:hAnsi="Calibri"/>
                <w:color w:val="000000"/>
              </w:rPr>
              <w:t xml:space="preserve"> , Sarajevo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rPr>
            </w:pPr>
            <w:r>
              <w:rPr>
                <w:rFonts w:ascii="Calibri" w:hAnsi="Calibri"/>
                <w:color w:val="000000"/>
              </w:rPr>
              <w:t>72.502,73</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jc w:val="right"/>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jc w:val="right"/>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u w:val="single"/>
              </w:rPr>
            </w:pPr>
            <w:r>
              <w:rPr>
                <w:rFonts w:ascii="Calibri" w:hAnsi="Calibri"/>
                <w:color w:val="000000"/>
                <w:u w:val="single"/>
              </w:rPr>
              <w:t>255.136,30</w:t>
            </w:r>
          </w:p>
        </w:tc>
        <w:tc>
          <w:tcPr>
            <w:tcW w:w="1535" w:type="dxa"/>
            <w:tcBorders>
              <w:top w:val="nil"/>
              <w:left w:val="nil"/>
              <w:bottom w:val="nil"/>
              <w:right w:val="nil"/>
            </w:tcBorders>
            <w:shd w:val="clear" w:color="000000" w:fill="FFFFFF"/>
            <w:noWrap/>
            <w:vAlign w:val="bottom"/>
            <w:hideMark/>
          </w:tcPr>
          <w:p w:rsidR="00875733" w:rsidRDefault="00875733" w:rsidP="00875733">
            <w:pPr>
              <w:jc w:val="both"/>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000000" w:fill="FFFFFF"/>
            <w:noWrap/>
            <w:vAlign w:val="bottom"/>
            <w:hideMark/>
          </w:tcPr>
          <w:p w:rsidR="00875733" w:rsidRDefault="00875733" w:rsidP="00875733">
            <w:pPr>
              <w:jc w:val="both"/>
              <w:rPr>
                <w:rFonts w:ascii="Calibri" w:hAnsi="Calibri"/>
                <w:color w:val="000000"/>
                <w:u w:val="single"/>
              </w:rPr>
            </w:pPr>
            <w:r>
              <w:rPr>
                <w:rFonts w:ascii="Calibri" w:hAnsi="Calibri"/>
                <w:color w:val="000000"/>
                <w:u w:val="single"/>
              </w:rPr>
              <w:t>83.023,77</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u w:val="single"/>
              </w:rPr>
            </w:pPr>
            <w:r>
              <w:rPr>
                <w:rFonts w:ascii="Calibri" w:hAnsi="Calibri"/>
                <w:color w:val="000000"/>
                <w:u w:val="single"/>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u w:val="single"/>
              </w:rPr>
            </w:pPr>
            <w:r>
              <w:rPr>
                <w:rFonts w:ascii="Calibri" w:hAnsi="Calibri"/>
                <w:color w:val="000000"/>
                <w:u w:val="single"/>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r>
              <w:rPr>
                <w:rFonts w:ascii="Calibri" w:hAnsi="Calibri"/>
                <w:b/>
                <w:bCs/>
                <w:i/>
                <w:iCs/>
                <w:color w:val="000000"/>
              </w:rPr>
              <w:lastRenderedPageBreak/>
              <w:t> </w:t>
            </w: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r>
              <w:rPr>
                <w:rFonts w:ascii="Calibri" w:hAnsi="Calibri"/>
                <w:b/>
                <w:bCs/>
                <w:i/>
                <w:iCs/>
                <w:color w:val="000000"/>
              </w:rPr>
              <w:t xml:space="preserve">u </w:t>
            </w:r>
            <w:proofErr w:type="spellStart"/>
            <w:r>
              <w:rPr>
                <w:rFonts w:ascii="Calibri" w:hAnsi="Calibri"/>
                <w:b/>
                <w:bCs/>
                <w:i/>
                <w:iCs/>
                <w:color w:val="000000"/>
              </w:rPr>
              <w:t>novcu</w:t>
            </w:r>
            <w:proofErr w:type="spellEnd"/>
            <w:r>
              <w:rPr>
                <w:rFonts w:ascii="Calibri" w:hAnsi="Calibri"/>
                <w:b/>
                <w:bCs/>
                <w:i/>
                <w:iCs/>
                <w:color w:val="000000"/>
              </w:rPr>
              <w:t xml:space="preserve">- </w:t>
            </w:r>
            <w:proofErr w:type="spellStart"/>
            <w:r>
              <w:rPr>
                <w:rFonts w:ascii="Calibri" w:hAnsi="Calibri"/>
                <w:b/>
                <w:bCs/>
                <w:i/>
                <w:iCs/>
                <w:color w:val="000000"/>
              </w:rPr>
              <w:t>strani</w:t>
            </w:r>
            <w:proofErr w:type="spellEnd"/>
            <w:r>
              <w:rPr>
                <w:rFonts w:ascii="Calibri" w:hAnsi="Calibri"/>
                <w:b/>
                <w:bCs/>
                <w:i/>
                <w:iCs/>
                <w:color w:val="000000"/>
              </w:rPr>
              <w:t xml:space="preserve"> </w:t>
            </w:r>
            <w:proofErr w:type="spellStart"/>
            <w:r>
              <w:rPr>
                <w:rFonts w:ascii="Calibri" w:hAnsi="Calibri"/>
                <w:b/>
                <w:bCs/>
                <w:i/>
                <w:iCs/>
                <w:color w:val="000000"/>
              </w:rPr>
              <w:t>emitetenti</w:t>
            </w:r>
            <w:proofErr w:type="spellEnd"/>
            <w:r>
              <w:rPr>
                <w:rFonts w:ascii="Calibri" w:hAnsi="Calibri"/>
                <w:b/>
                <w:bCs/>
                <w:i/>
                <w:i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proofErr w:type="spellStart"/>
            <w:r>
              <w:rPr>
                <w:rFonts w:ascii="Calibri" w:hAnsi="Calibri"/>
                <w:color w:val="000000"/>
              </w:rPr>
              <w:t>Metalac</w:t>
            </w:r>
            <w:proofErr w:type="spellEnd"/>
            <w:r>
              <w:rPr>
                <w:rFonts w:ascii="Calibri" w:hAnsi="Calibri"/>
                <w:color w:val="000000"/>
              </w:rPr>
              <w:t xml:space="preserve"> ad, </w:t>
            </w:r>
            <w:proofErr w:type="spellStart"/>
            <w:r>
              <w:rPr>
                <w:rFonts w:ascii="Calibri" w:hAnsi="Calibri"/>
                <w:color w:val="000000"/>
              </w:rPr>
              <w:t>Gornji</w:t>
            </w:r>
            <w:proofErr w:type="spellEnd"/>
            <w:r>
              <w:rPr>
                <w:rFonts w:ascii="Calibri" w:hAnsi="Calibri"/>
                <w:color w:val="000000"/>
              </w:rPr>
              <w:t xml:space="preserve"> </w:t>
            </w:r>
            <w:proofErr w:type="spellStart"/>
            <w:r>
              <w:rPr>
                <w:rFonts w:ascii="Calibri" w:hAnsi="Calibri"/>
                <w:color w:val="000000"/>
              </w:rPr>
              <w:t>Milanovac</w:t>
            </w:r>
            <w:proofErr w:type="spellEnd"/>
            <w:r>
              <w:rPr>
                <w:rFonts w:ascii="Calibri" w:hAnsi="Calibri"/>
                <w:color w:val="000000"/>
              </w:rPr>
              <w:t xml:space="preserve">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rPr>
            </w:pPr>
            <w:r>
              <w:rPr>
                <w:rFonts w:ascii="Calibri" w:hAnsi="Calibri"/>
                <w:color w:val="000000"/>
              </w:rPr>
              <w:t>37.301,54</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proofErr w:type="spellStart"/>
            <w:r>
              <w:rPr>
                <w:rFonts w:ascii="Calibri" w:hAnsi="Calibri"/>
                <w:color w:val="000000"/>
              </w:rPr>
              <w:t>Jugopetrol</w:t>
            </w:r>
            <w:proofErr w:type="spellEnd"/>
            <w:r>
              <w:rPr>
                <w:rFonts w:ascii="Calibri" w:hAnsi="Calibri"/>
                <w:color w:val="000000"/>
              </w:rPr>
              <w:t xml:space="preserve"> ad, </w:t>
            </w:r>
            <w:proofErr w:type="spellStart"/>
            <w:r>
              <w:rPr>
                <w:rFonts w:ascii="Calibri" w:hAnsi="Calibri"/>
                <w:color w:val="000000"/>
              </w:rPr>
              <w:t>Podgorica</w:t>
            </w:r>
            <w:proofErr w:type="spellEnd"/>
            <w:r>
              <w:rPr>
                <w:rFonts w:ascii="Calibri" w:hAnsi="Calibri"/>
                <w:color w:val="000000"/>
              </w:rPr>
              <w:t xml:space="preserve">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rPr>
            </w:pPr>
            <w:r>
              <w:rPr>
                <w:rFonts w:ascii="Calibri" w:hAnsi="Calibri"/>
                <w:color w:val="000000"/>
              </w:rPr>
              <w:t>36.434,18</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Telekom </w:t>
            </w:r>
            <w:proofErr w:type="spellStart"/>
            <w:r>
              <w:rPr>
                <w:rFonts w:ascii="Calibri" w:hAnsi="Calibri"/>
                <w:color w:val="000000"/>
              </w:rPr>
              <w:t>Crne</w:t>
            </w:r>
            <w:proofErr w:type="spellEnd"/>
            <w:r>
              <w:rPr>
                <w:rFonts w:ascii="Calibri" w:hAnsi="Calibri"/>
                <w:color w:val="000000"/>
              </w:rPr>
              <w:t xml:space="preserve"> Gore , </w:t>
            </w:r>
            <w:proofErr w:type="spellStart"/>
            <w:r>
              <w:rPr>
                <w:rFonts w:ascii="Calibri" w:hAnsi="Calibri"/>
                <w:color w:val="000000"/>
              </w:rPr>
              <w:t>Podgorica</w:t>
            </w:r>
            <w:proofErr w:type="spellEnd"/>
            <w:r>
              <w:rPr>
                <w:rFonts w:ascii="Calibri" w:hAnsi="Calibri"/>
                <w:color w:val="000000"/>
              </w:rPr>
              <w:t xml:space="preserve">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rPr>
            </w:pPr>
            <w:r>
              <w:rPr>
                <w:rFonts w:ascii="Calibri" w:hAnsi="Calibri"/>
                <w:color w:val="000000"/>
              </w:rPr>
              <w:t>3.436,35</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color w:val="000000"/>
                <w:u w:val="single"/>
              </w:rPr>
            </w:pPr>
            <w:r>
              <w:rPr>
                <w:rFonts w:ascii="Calibri" w:hAnsi="Calibri"/>
                <w:color w:val="000000"/>
                <w:u w:val="single"/>
              </w:rPr>
              <w:t>77.172,07</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000000" w:fill="FFFFFF"/>
            <w:noWrap/>
            <w:vAlign w:val="bottom"/>
            <w:hideMark/>
          </w:tcPr>
          <w:p w:rsidR="00875733" w:rsidRDefault="00875733">
            <w:pPr>
              <w:rPr>
                <w:rFonts w:ascii="Calibri" w:hAnsi="Calibri"/>
                <w:color w:val="000000"/>
                <w:u w:val="single"/>
              </w:rPr>
            </w:pPr>
            <w:r>
              <w:rPr>
                <w:rFonts w:ascii="Calibri" w:hAnsi="Calibri"/>
                <w:color w:val="000000"/>
                <w:u w:val="single"/>
              </w:rPr>
              <w:t>0,00</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u w:val="single"/>
              </w:rPr>
            </w:pPr>
            <w:r>
              <w:rPr>
                <w:rFonts w:ascii="Calibri" w:hAnsi="Calibri"/>
                <w:color w:val="000000"/>
                <w:u w:val="single"/>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u w:val="single"/>
              </w:rPr>
            </w:pPr>
            <w:r>
              <w:rPr>
                <w:rFonts w:ascii="Calibri" w:hAnsi="Calibri"/>
                <w:color w:val="000000"/>
                <w:u w:val="single"/>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r>
              <w:rPr>
                <w:rFonts w:ascii="Calibri" w:hAnsi="Calibri"/>
                <w:b/>
                <w:bCs/>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r>
              <w:rPr>
                <w:rFonts w:ascii="Calibri" w:hAnsi="Calibri"/>
                <w:b/>
                <w:bCs/>
                <w:color w:val="000000"/>
              </w:rPr>
              <w:t xml:space="preserve">u </w:t>
            </w:r>
            <w:proofErr w:type="spellStart"/>
            <w:r>
              <w:rPr>
                <w:rFonts w:ascii="Calibri" w:hAnsi="Calibri"/>
                <w:b/>
                <w:bCs/>
                <w:color w:val="000000"/>
              </w:rPr>
              <w:t>akcijama</w:t>
            </w:r>
            <w:proofErr w:type="spellEnd"/>
            <w:r>
              <w:rPr>
                <w:rFonts w:ascii="Calibri" w:hAnsi="Calibri"/>
                <w:b/>
                <w:b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proofErr w:type="spellStart"/>
            <w:r>
              <w:rPr>
                <w:rFonts w:ascii="Calibri" w:hAnsi="Calibri"/>
                <w:b/>
                <w:bCs/>
                <w:color w:val="000000"/>
              </w:rPr>
              <w:t>Za</w:t>
            </w:r>
            <w:proofErr w:type="spellEnd"/>
            <w:r>
              <w:rPr>
                <w:rFonts w:ascii="Calibri" w:hAnsi="Calibri"/>
                <w:b/>
                <w:bCs/>
                <w:color w:val="000000"/>
              </w:rPr>
              <w:t xml:space="preserve"> </w:t>
            </w:r>
            <w:proofErr w:type="spellStart"/>
            <w:r>
              <w:rPr>
                <w:rFonts w:ascii="Calibri" w:hAnsi="Calibri"/>
                <w:b/>
                <w:bCs/>
                <w:color w:val="000000"/>
              </w:rPr>
              <w:t>godinu</w:t>
            </w:r>
            <w:proofErr w:type="spellEnd"/>
            <w:r>
              <w:rPr>
                <w:rFonts w:ascii="Calibri" w:hAnsi="Calibri"/>
                <w:b/>
                <w:bCs/>
                <w:color w:val="000000"/>
              </w:rPr>
              <w:t xml:space="preserve"> </w:t>
            </w:r>
            <w:proofErr w:type="spellStart"/>
            <w:r>
              <w:rPr>
                <w:rFonts w:ascii="Calibri" w:hAnsi="Calibri"/>
                <w:b/>
                <w:bCs/>
                <w:color w:val="000000"/>
              </w:rPr>
              <w:t>koja</w:t>
            </w:r>
            <w:proofErr w:type="spellEnd"/>
            <w:r>
              <w:rPr>
                <w:rFonts w:ascii="Calibri" w:hAnsi="Calibri"/>
                <w:b/>
                <w:bCs/>
                <w:color w:val="000000"/>
              </w:rPr>
              <w:t xml:space="preserve"> se </w:t>
            </w:r>
            <w:proofErr w:type="spellStart"/>
            <w:r>
              <w:rPr>
                <w:rFonts w:ascii="Calibri" w:hAnsi="Calibri"/>
                <w:b/>
                <w:bCs/>
                <w:color w:val="000000"/>
              </w:rPr>
              <w:t>završila</w:t>
            </w:r>
            <w:proofErr w:type="spellEnd"/>
            <w:r>
              <w:rPr>
                <w:rFonts w:ascii="Calibri" w:hAnsi="Calibri"/>
                <w:b/>
                <w:bCs/>
                <w:color w:val="000000"/>
              </w:rPr>
              <w:t xml:space="preserve"> 31.12.2018.</w:t>
            </w:r>
          </w:p>
        </w:tc>
        <w:tc>
          <w:tcPr>
            <w:tcW w:w="2110" w:type="dxa"/>
            <w:tcBorders>
              <w:top w:val="nil"/>
              <w:left w:val="nil"/>
              <w:bottom w:val="nil"/>
              <w:right w:val="nil"/>
            </w:tcBorders>
            <w:shd w:val="clear" w:color="000000" w:fill="FFFFFF"/>
            <w:noWrap/>
            <w:vAlign w:val="bottom"/>
            <w:hideMark/>
          </w:tcPr>
          <w:p w:rsidR="00875733" w:rsidRDefault="00875733">
            <w:pPr>
              <w:jc w:val="right"/>
              <w:rPr>
                <w:rFonts w:ascii="Calibri" w:hAnsi="Calibri"/>
                <w:b/>
                <w:bCs/>
                <w:color w:val="000000"/>
                <w:u w:val="single"/>
              </w:rPr>
            </w:pPr>
            <w:r>
              <w:rPr>
                <w:rFonts w:ascii="Calibri" w:hAnsi="Calibri"/>
                <w:b/>
                <w:bCs/>
                <w:color w:val="000000"/>
                <w:u w:val="single"/>
              </w:rPr>
              <w:t>332.308,37</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r>
              <w:rPr>
                <w:rFonts w:ascii="Calibri" w:hAnsi="Calibri"/>
                <w:b/>
                <w:bCs/>
                <w:color w:val="000000"/>
              </w:rPr>
              <w:t xml:space="preserve">                           -      </w:t>
            </w:r>
          </w:p>
        </w:tc>
        <w:tc>
          <w:tcPr>
            <w:tcW w:w="1657"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u w:val="single"/>
              </w:rPr>
            </w:pPr>
            <w:r>
              <w:rPr>
                <w:rFonts w:ascii="Calibri" w:hAnsi="Calibri"/>
                <w:b/>
                <w:bCs/>
                <w:color w:val="000000"/>
                <w:u w:val="single"/>
              </w:rPr>
              <w:t>83.023,77</w:t>
            </w:r>
          </w:p>
        </w:tc>
      </w:tr>
      <w:tr w:rsidR="00875733" w:rsidTr="00875733">
        <w:trPr>
          <w:trHeight w:val="310"/>
        </w:trPr>
        <w:tc>
          <w:tcPr>
            <w:tcW w:w="4122" w:type="dxa"/>
            <w:tcBorders>
              <w:top w:val="nil"/>
              <w:left w:val="nil"/>
              <w:bottom w:val="nil"/>
              <w:right w:val="nil"/>
            </w:tcBorders>
            <w:shd w:val="clear" w:color="auto" w:fill="auto"/>
            <w:noWrap/>
            <w:vAlign w:val="bottom"/>
            <w:hideMark/>
          </w:tcPr>
          <w:p w:rsidR="00875733" w:rsidRDefault="00875733">
            <w:pPr>
              <w:rPr>
                <w:color w:val="000000"/>
              </w:rPr>
            </w:pPr>
          </w:p>
        </w:tc>
        <w:tc>
          <w:tcPr>
            <w:tcW w:w="2110" w:type="dxa"/>
            <w:tcBorders>
              <w:top w:val="nil"/>
              <w:left w:val="nil"/>
              <w:bottom w:val="nil"/>
              <w:right w:val="nil"/>
            </w:tcBorders>
            <w:shd w:val="clear" w:color="auto" w:fill="auto"/>
            <w:noWrap/>
            <w:vAlign w:val="bottom"/>
            <w:hideMark/>
          </w:tcPr>
          <w:p w:rsidR="00875733" w:rsidRDefault="00875733">
            <w:pPr>
              <w:rPr>
                <w:color w:val="000000"/>
              </w:rPr>
            </w:pPr>
          </w:p>
        </w:tc>
        <w:tc>
          <w:tcPr>
            <w:tcW w:w="1535" w:type="dxa"/>
            <w:tcBorders>
              <w:top w:val="nil"/>
              <w:left w:val="nil"/>
              <w:bottom w:val="nil"/>
              <w:right w:val="nil"/>
            </w:tcBorders>
            <w:shd w:val="clear" w:color="auto" w:fill="auto"/>
            <w:noWrap/>
            <w:vAlign w:val="bottom"/>
            <w:hideMark/>
          </w:tcPr>
          <w:p w:rsidR="00875733" w:rsidRDefault="00875733">
            <w:pPr>
              <w:rPr>
                <w:color w:val="000000"/>
              </w:rPr>
            </w:pP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bl>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875733">
              <w:rPr>
                <w:rFonts w:ascii="Calibri" w:hAnsi="Calibri"/>
                <w:b/>
                <w:bCs/>
                <w:color w:val="000000"/>
                <w:lang w:val="sr-Latn-BA" w:eastAsia="sr-Latn-BA"/>
              </w:rPr>
              <w:t>8</w:t>
            </w:r>
          </w:p>
        </w:tc>
        <w:tc>
          <w:tcPr>
            <w:tcW w:w="1680" w:type="dxa"/>
            <w:tcBorders>
              <w:top w:val="nil"/>
              <w:left w:val="nil"/>
              <w:bottom w:val="nil"/>
              <w:right w:val="nil"/>
            </w:tcBorders>
            <w:shd w:val="clear" w:color="000000" w:fill="FFFFFF"/>
            <w:noWrap/>
            <w:vAlign w:val="bottom"/>
            <w:hideMark/>
          </w:tcPr>
          <w:p w:rsidR="00C50773" w:rsidRPr="00C50773" w:rsidRDefault="00875733" w:rsidP="00C50773">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6.963,72</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4.372,89</w:t>
            </w: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21.151,77</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5.063,18</w:t>
            </w: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15.034,62</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Cs/>
                <w:color w:val="000000"/>
                <w:lang w:val="sr-Latn-BA" w:eastAsia="sr-Latn-BA"/>
              </w:rPr>
            </w:pPr>
            <w:r w:rsidRPr="00C94DCD">
              <w:rPr>
                <w:rFonts w:ascii="Calibri" w:hAnsi="Calibri"/>
                <w:bCs/>
                <w:color w:val="000000"/>
                <w:lang w:val="sr-Latn-BA" w:eastAsia="sr-Latn-BA"/>
              </w:rPr>
              <w:t>9.394,04</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r w:rsidRPr="00C94DCD">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 </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r w:rsidRPr="00C94DCD">
              <w:rPr>
                <w:rFonts w:ascii="Calibri" w:hAnsi="Calibri"/>
                <w:b/>
                <w:bCs/>
                <w:i/>
                <w:iCs/>
                <w:color w:val="000000"/>
                <w:lang w:val="sr-Latn-BA" w:eastAsia="sr-Latn-BA"/>
              </w:rPr>
              <w:t>Za godinu koja se završila 31.12.2018.</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43.150,11</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18.830,11</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r>
    </w:tbl>
    <w:p w:rsidR="00F36B2B" w:rsidRDefault="00F36B2B" w:rsidP="005B0018">
      <w:pPr>
        <w:pStyle w:val="Heading1"/>
        <w:numPr>
          <w:ilvl w:val="0"/>
          <w:numId w:val="0"/>
        </w:numPr>
        <w:rPr>
          <w:rFonts w:ascii="Calibri" w:hAnsi="Calibri" w:cs="Calibri"/>
          <w:noProof/>
          <w:sz w:val="24"/>
          <w:szCs w:val="24"/>
        </w:rPr>
      </w:pPr>
      <w:r>
        <w:rPr>
          <w:rFonts w:ascii="Calibri" w:hAnsi="Calibri" w:cs="Calibri"/>
          <w:noProof/>
          <w:sz w:val="24"/>
          <w:szCs w:val="24"/>
        </w:rPr>
        <w:t xml:space="preserve">OSTALI POSLOVNI PRIHODI </w:t>
      </w:r>
    </w:p>
    <w:tbl>
      <w:tblPr>
        <w:tblW w:w="8068" w:type="dxa"/>
        <w:tblInd w:w="99" w:type="dxa"/>
        <w:tblLook w:val="04A0"/>
      </w:tblPr>
      <w:tblGrid>
        <w:gridCol w:w="5120"/>
        <w:gridCol w:w="1760"/>
        <w:gridCol w:w="1188"/>
      </w:tblGrid>
      <w:tr w:rsidR="00F36B2B" w:rsidRPr="00620BD3" w:rsidTr="00F36B2B">
        <w:trPr>
          <w:trHeight w:val="310"/>
        </w:trPr>
        <w:tc>
          <w:tcPr>
            <w:tcW w:w="5120" w:type="dxa"/>
            <w:tcBorders>
              <w:top w:val="nil"/>
              <w:left w:val="nil"/>
              <w:bottom w:val="nil"/>
              <w:right w:val="nil"/>
            </w:tcBorders>
            <w:shd w:val="clear" w:color="000000" w:fill="FFFFFF"/>
            <w:noWrap/>
            <w:vAlign w:val="bottom"/>
            <w:hideMark/>
          </w:tcPr>
          <w:p w:rsidR="00F36B2B" w:rsidRPr="00620BD3" w:rsidRDefault="00F36B2B" w:rsidP="00F36B2B">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F36B2B" w:rsidRPr="00620BD3" w:rsidRDefault="00F36B2B" w:rsidP="00F36B2B">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8</w:t>
            </w:r>
          </w:p>
        </w:tc>
        <w:tc>
          <w:tcPr>
            <w:tcW w:w="1188" w:type="dxa"/>
            <w:tcBorders>
              <w:top w:val="nil"/>
              <w:left w:val="nil"/>
              <w:bottom w:val="nil"/>
              <w:right w:val="nil"/>
            </w:tcBorders>
            <w:shd w:val="clear" w:color="000000" w:fill="FFFFFF"/>
            <w:noWrap/>
            <w:vAlign w:val="bottom"/>
            <w:hideMark/>
          </w:tcPr>
          <w:p w:rsidR="00F36B2B" w:rsidRPr="00620BD3" w:rsidRDefault="00F36B2B" w:rsidP="00F36B2B">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7</w:t>
            </w:r>
          </w:p>
        </w:tc>
      </w:tr>
      <w:tr w:rsidR="00F36B2B" w:rsidRPr="00620BD3" w:rsidTr="00F36B2B">
        <w:trPr>
          <w:trHeight w:val="310"/>
        </w:trPr>
        <w:tc>
          <w:tcPr>
            <w:tcW w:w="5120" w:type="dxa"/>
            <w:tcBorders>
              <w:top w:val="nil"/>
              <w:left w:val="nil"/>
              <w:bottom w:val="nil"/>
              <w:right w:val="nil"/>
            </w:tcBorders>
            <w:shd w:val="clear" w:color="000000" w:fill="FFFFFF"/>
            <w:noWrap/>
            <w:vAlign w:val="bottom"/>
            <w:hideMark/>
          </w:tcPr>
          <w:p w:rsidR="00F36B2B" w:rsidRPr="00620BD3" w:rsidRDefault="00F36B2B" w:rsidP="00F36B2B">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F36B2B" w:rsidRPr="00620BD3" w:rsidRDefault="00F36B2B" w:rsidP="00F36B2B">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F36B2B" w:rsidRPr="00620BD3" w:rsidRDefault="00F36B2B" w:rsidP="00F36B2B">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F36B2B" w:rsidRPr="00620BD3" w:rsidTr="00F36B2B">
        <w:trPr>
          <w:trHeight w:val="310"/>
        </w:trPr>
        <w:tc>
          <w:tcPr>
            <w:tcW w:w="5120" w:type="dxa"/>
            <w:tcBorders>
              <w:top w:val="nil"/>
              <w:left w:val="nil"/>
              <w:bottom w:val="nil"/>
              <w:right w:val="nil"/>
            </w:tcBorders>
            <w:shd w:val="clear" w:color="000000" w:fill="FFFFFF"/>
            <w:noWrap/>
            <w:vAlign w:val="bottom"/>
            <w:hideMark/>
          </w:tcPr>
          <w:p w:rsidR="00F36B2B" w:rsidRPr="00620BD3" w:rsidRDefault="00F36B2B" w:rsidP="00F36B2B">
            <w:pPr>
              <w:rPr>
                <w:rFonts w:ascii="Calibri" w:hAnsi="Calibri"/>
                <w:lang w:val="sr-Latn-BA" w:eastAsia="sr-Latn-BA"/>
              </w:rPr>
            </w:pPr>
            <w:r>
              <w:rPr>
                <w:rFonts w:ascii="Calibri" w:hAnsi="Calibri"/>
                <w:lang w:val="sr-Latn-BA" w:eastAsia="sr-Latn-BA"/>
              </w:rPr>
              <w:t>Ostali prihodi</w:t>
            </w:r>
            <w:r w:rsidR="00DF5D93">
              <w:rPr>
                <w:rFonts w:ascii="Calibri" w:hAnsi="Calibri"/>
                <w:lang w:val="sr-Latn-BA" w:eastAsia="sr-Latn-BA"/>
              </w:rPr>
              <w:t xml:space="preserve"> – 20 % izlazne naknade </w:t>
            </w:r>
            <w:r>
              <w:rPr>
                <w:rFonts w:ascii="Calibri" w:hAnsi="Calibri"/>
                <w:lang w:val="sr-Latn-BA" w:eastAsia="sr-Latn-BA"/>
              </w:rPr>
              <w:t xml:space="preserve">  </w:t>
            </w:r>
          </w:p>
        </w:tc>
        <w:tc>
          <w:tcPr>
            <w:tcW w:w="1760" w:type="dxa"/>
            <w:tcBorders>
              <w:top w:val="nil"/>
              <w:left w:val="nil"/>
              <w:bottom w:val="nil"/>
              <w:right w:val="nil"/>
            </w:tcBorders>
            <w:shd w:val="clear" w:color="000000" w:fill="FFFFFF"/>
            <w:noWrap/>
            <w:vAlign w:val="bottom"/>
            <w:hideMark/>
          </w:tcPr>
          <w:p w:rsidR="00F36B2B" w:rsidRPr="00620BD3" w:rsidRDefault="00DF5D93" w:rsidP="00F36B2B">
            <w:pPr>
              <w:jc w:val="right"/>
              <w:rPr>
                <w:rFonts w:ascii="Calibri" w:hAnsi="Calibri"/>
                <w:color w:val="000000"/>
                <w:lang w:val="sr-Latn-BA" w:eastAsia="sr-Latn-BA"/>
              </w:rPr>
            </w:pPr>
            <w:r>
              <w:rPr>
                <w:rFonts w:ascii="Calibri" w:hAnsi="Calibri"/>
                <w:color w:val="000000"/>
                <w:lang w:val="sr-Latn-BA" w:eastAsia="sr-Latn-BA"/>
              </w:rPr>
              <w:t>372.137,24</w:t>
            </w:r>
          </w:p>
        </w:tc>
        <w:tc>
          <w:tcPr>
            <w:tcW w:w="1188" w:type="dxa"/>
            <w:tcBorders>
              <w:top w:val="nil"/>
              <w:left w:val="nil"/>
              <w:bottom w:val="nil"/>
              <w:right w:val="nil"/>
            </w:tcBorders>
            <w:shd w:val="clear" w:color="000000" w:fill="FFFFFF"/>
            <w:vAlign w:val="center"/>
            <w:hideMark/>
          </w:tcPr>
          <w:p w:rsidR="00F36B2B" w:rsidRPr="00620BD3" w:rsidRDefault="00DF5D93" w:rsidP="00DF5D93">
            <w:pPr>
              <w:jc w:val="right"/>
              <w:rPr>
                <w:rFonts w:ascii="Calibri" w:hAnsi="Calibri"/>
                <w:color w:val="000000"/>
                <w:lang w:val="sr-Latn-BA" w:eastAsia="sr-Latn-BA"/>
              </w:rPr>
            </w:pPr>
            <w:r>
              <w:rPr>
                <w:rFonts w:ascii="Calibri" w:hAnsi="Calibri"/>
                <w:color w:val="000000"/>
                <w:lang w:val="sr-Latn-BA" w:eastAsia="sr-Latn-BA"/>
              </w:rPr>
              <w:t>-</w:t>
            </w:r>
          </w:p>
        </w:tc>
      </w:tr>
      <w:tr w:rsidR="00DF5D93" w:rsidRPr="00620BD3" w:rsidTr="00320BEF">
        <w:trPr>
          <w:trHeight w:val="310"/>
        </w:trPr>
        <w:tc>
          <w:tcPr>
            <w:tcW w:w="5120" w:type="dxa"/>
            <w:tcBorders>
              <w:top w:val="nil"/>
              <w:left w:val="nil"/>
              <w:bottom w:val="nil"/>
              <w:right w:val="nil"/>
            </w:tcBorders>
            <w:shd w:val="clear" w:color="000000" w:fill="FFFFFF"/>
            <w:noWrap/>
            <w:vAlign w:val="bottom"/>
            <w:hideMark/>
          </w:tcPr>
          <w:p w:rsidR="00DF5D93" w:rsidRPr="00620BD3" w:rsidRDefault="00DF5D93" w:rsidP="00DF5D93">
            <w:pPr>
              <w:rPr>
                <w:rFonts w:ascii="Calibri" w:hAnsi="Calibri"/>
                <w:lang w:val="sr-Latn-BA" w:eastAsia="sr-Latn-BA"/>
              </w:rPr>
            </w:pPr>
            <w:r>
              <w:rPr>
                <w:rFonts w:ascii="Calibri" w:hAnsi="Calibri"/>
                <w:lang w:val="sr-Latn-BA" w:eastAsia="sr-Latn-BA"/>
              </w:rPr>
              <w:t xml:space="preserve">Ostali prihodi </w:t>
            </w:r>
          </w:p>
        </w:tc>
        <w:tc>
          <w:tcPr>
            <w:tcW w:w="1760" w:type="dxa"/>
            <w:tcBorders>
              <w:top w:val="nil"/>
              <w:left w:val="nil"/>
              <w:bottom w:val="nil"/>
              <w:right w:val="nil"/>
            </w:tcBorders>
            <w:shd w:val="clear" w:color="000000" w:fill="FFFFFF"/>
            <w:noWrap/>
            <w:vAlign w:val="bottom"/>
            <w:hideMark/>
          </w:tcPr>
          <w:p w:rsidR="00DF5D93" w:rsidRPr="00620BD3" w:rsidRDefault="00DF5D93" w:rsidP="00320BEF">
            <w:pPr>
              <w:jc w:val="right"/>
              <w:rPr>
                <w:rFonts w:ascii="Calibri" w:hAnsi="Calibri"/>
                <w:color w:val="000000"/>
                <w:lang w:val="sr-Latn-BA" w:eastAsia="sr-Latn-BA"/>
              </w:rPr>
            </w:pPr>
            <w:r>
              <w:rPr>
                <w:rFonts w:ascii="Calibri" w:hAnsi="Calibri"/>
                <w:color w:val="000000"/>
                <w:lang w:val="sr-Latn-BA" w:eastAsia="sr-Latn-BA"/>
              </w:rPr>
              <w:t>-</w:t>
            </w:r>
          </w:p>
        </w:tc>
        <w:tc>
          <w:tcPr>
            <w:tcW w:w="1188" w:type="dxa"/>
            <w:tcBorders>
              <w:top w:val="nil"/>
              <w:left w:val="nil"/>
              <w:bottom w:val="nil"/>
              <w:right w:val="nil"/>
            </w:tcBorders>
            <w:shd w:val="clear" w:color="000000" w:fill="FFFFFF"/>
            <w:vAlign w:val="center"/>
            <w:hideMark/>
          </w:tcPr>
          <w:p w:rsidR="00DF5D93" w:rsidRPr="00620BD3" w:rsidRDefault="00DF5D93" w:rsidP="00DF5D93">
            <w:pPr>
              <w:jc w:val="right"/>
              <w:rPr>
                <w:rFonts w:ascii="Calibri" w:hAnsi="Calibri"/>
                <w:color w:val="000000"/>
                <w:lang w:val="sr-Latn-BA" w:eastAsia="sr-Latn-BA"/>
              </w:rPr>
            </w:pPr>
            <w:r>
              <w:rPr>
                <w:rFonts w:ascii="Calibri" w:hAnsi="Calibri"/>
                <w:color w:val="000000"/>
                <w:lang w:val="sr-Latn-BA" w:eastAsia="sr-Latn-BA"/>
              </w:rPr>
              <w:t>131,00</w:t>
            </w:r>
          </w:p>
        </w:tc>
      </w:tr>
      <w:tr w:rsidR="00F36B2B" w:rsidRPr="00620BD3" w:rsidTr="00F36B2B">
        <w:trPr>
          <w:trHeight w:val="310"/>
        </w:trPr>
        <w:tc>
          <w:tcPr>
            <w:tcW w:w="5120" w:type="dxa"/>
            <w:tcBorders>
              <w:top w:val="nil"/>
              <w:left w:val="nil"/>
              <w:bottom w:val="nil"/>
              <w:right w:val="nil"/>
            </w:tcBorders>
            <w:shd w:val="clear" w:color="000000" w:fill="FFFFFF"/>
            <w:noWrap/>
            <w:vAlign w:val="bottom"/>
            <w:hideMark/>
          </w:tcPr>
          <w:p w:rsidR="00F36B2B" w:rsidRPr="00620BD3" w:rsidRDefault="00F36B2B" w:rsidP="00F36B2B">
            <w:pPr>
              <w:rPr>
                <w:rFonts w:ascii="Calibri" w:hAnsi="Calibri"/>
                <w:lang w:val="sr-Latn-BA" w:eastAsia="sr-Latn-BA"/>
              </w:rPr>
            </w:pPr>
            <w:r w:rsidRPr="00620BD3">
              <w:rPr>
                <w:rFonts w:ascii="Calibri" w:hAnsi="Calibri"/>
                <w:lang w:val="sr-Latn-BA" w:eastAsia="sr-Latn-BA"/>
              </w:rPr>
              <w:lastRenderedPageBreak/>
              <w:t> </w:t>
            </w:r>
          </w:p>
        </w:tc>
        <w:tc>
          <w:tcPr>
            <w:tcW w:w="1760" w:type="dxa"/>
            <w:tcBorders>
              <w:top w:val="nil"/>
              <w:left w:val="nil"/>
              <w:bottom w:val="nil"/>
              <w:right w:val="nil"/>
            </w:tcBorders>
            <w:shd w:val="clear" w:color="000000" w:fill="FFFFFF"/>
            <w:vAlign w:val="center"/>
            <w:hideMark/>
          </w:tcPr>
          <w:p w:rsidR="00F36B2B" w:rsidRPr="00620BD3" w:rsidRDefault="00F36B2B" w:rsidP="00F36B2B">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F36B2B" w:rsidRPr="00620BD3" w:rsidRDefault="00F36B2B" w:rsidP="00F36B2B">
            <w:pPr>
              <w:jc w:val="right"/>
              <w:rPr>
                <w:rFonts w:ascii="Calibri" w:hAnsi="Calibri"/>
                <w:color w:val="000000"/>
                <w:lang w:val="sr-Latn-BA" w:eastAsia="sr-Latn-BA"/>
              </w:rPr>
            </w:pPr>
            <w:r w:rsidRPr="00620BD3">
              <w:rPr>
                <w:rFonts w:ascii="Calibri" w:hAnsi="Calibri"/>
                <w:color w:val="000000"/>
                <w:lang w:val="sr-Latn-BA" w:eastAsia="sr-Latn-BA"/>
              </w:rPr>
              <w:t> </w:t>
            </w:r>
          </w:p>
        </w:tc>
      </w:tr>
      <w:tr w:rsidR="00F36B2B" w:rsidRPr="00620BD3" w:rsidTr="00F36B2B">
        <w:trPr>
          <w:trHeight w:val="370"/>
        </w:trPr>
        <w:tc>
          <w:tcPr>
            <w:tcW w:w="5120" w:type="dxa"/>
            <w:tcBorders>
              <w:top w:val="nil"/>
              <w:left w:val="nil"/>
              <w:bottom w:val="nil"/>
              <w:right w:val="nil"/>
            </w:tcBorders>
            <w:shd w:val="clear" w:color="000000" w:fill="FFFFFF"/>
            <w:noWrap/>
            <w:vAlign w:val="bottom"/>
            <w:hideMark/>
          </w:tcPr>
          <w:p w:rsidR="00F36B2B" w:rsidRPr="00620BD3" w:rsidRDefault="00F36B2B" w:rsidP="00F36B2B">
            <w:pPr>
              <w:rPr>
                <w:rFonts w:ascii="Calibri" w:hAnsi="Calibri"/>
                <w:b/>
                <w:bCs/>
                <w:lang w:val="sr-Latn-BA" w:eastAsia="sr-Latn-BA"/>
              </w:rPr>
            </w:pPr>
            <w:r w:rsidRPr="00620BD3">
              <w:rPr>
                <w:rFonts w:ascii="Calibri" w:hAnsi="Calibri"/>
                <w:b/>
                <w:bCs/>
                <w:lang w:val="sr-Latn-BA" w:eastAsia="sr-Latn-BA"/>
              </w:rPr>
              <w:t>Za go</w:t>
            </w:r>
            <w:r>
              <w:rPr>
                <w:rFonts w:ascii="Calibri" w:hAnsi="Calibri"/>
                <w:b/>
                <w:bCs/>
                <w:lang w:val="sr-Latn-BA" w:eastAsia="sr-Latn-BA"/>
              </w:rPr>
              <w:t>dinu koja se završila 31.12.2018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F36B2B" w:rsidRPr="00F36B2B" w:rsidRDefault="00F36B2B" w:rsidP="006F44D9">
            <w:pPr>
              <w:jc w:val="right"/>
              <w:rPr>
                <w:rFonts w:ascii="Calibri" w:hAnsi="Calibri"/>
                <w:b/>
                <w:color w:val="000000"/>
                <w:u w:val="single"/>
                <w:lang w:val="sr-Latn-BA" w:eastAsia="sr-Latn-BA"/>
              </w:rPr>
            </w:pPr>
            <w:r w:rsidRPr="00620BD3">
              <w:rPr>
                <w:rFonts w:ascii="Calibri" w:hAnsi="Calibri"/>
                <w:color w:val="000000"/>
                <w:u w:val="single"/>
                <w:lang w:val="sr-Latn-BA" w:eastAsia="sr-Latn-BA"/>
              </w:rPr>
              <w:t xml:space="preserve">          </w:t>
            </w:r>
            <w:r w:rsidR="006F44D9">
              <w:rPr>
                <w:rFonts w:ascii="Calibri" w:hAnsi="Calibri"/>
                <w:b/>
                <w:color w:val="000000"/>
                <w:u w:val="single"/>
                <w:lang w:val="sr-Latn-BA" w:eastAsia="sr-Latn-BA"/>
              </w:rPr>
              <w:t>372.137</w:t>
            </w:r>
            <w:r w:rsidR="008C1452">
              <w:rPr>
                <w:rFonts w:ascii="Calibri" w:hAnsi="Calibri"/>
                <w:b/>
                <w:color w:val="000000"/>
                <w:u w:val="single"/>
                <w:lang w:val="sr-Latn-BA" w:eastAsia="sr-Latn-BA"/>
              </w:rPr>
              <w:t>,24</w:t>
            </w:r>
            <w:r w:rsidRPr="00F36B2B">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F36B2B" w:rsidRPr="00620BD3" w:rsidRDefault="00F36B2B" w:rsidP="00F36B2B">
            <w:pPr>
              <w:jc w:val="right"/>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F36B2B" w:rsidRDefault="00F36B2B" w:rsidP="00F36B2B"/>
    <w:p w:rsidR="00F014B7" w:rsidRPr="00A47E7E" w:rsidRDefault="00F014B7" w:rsidP="00044C85">
      <w:pPr>
        <w:tabs>
          <w:tab w:val="left" w:pos="-1440"/>
          <w:tab w:val="left" w:pos="-720"/>
          <w:tab w:val="left" w:pos="889"/>
          <w:tab w:val="left" w:pos="1231"/>
          <w:tab w:val="right" w:pos="8960"/>
        </w:tabs>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142F62" w:rsidP="00C50773">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1620" w:type="dxa"/>
            <w:tcBorders>
              <w:top w:val="nil"/>
              <w:left w:val="nil"/>
              <w:bottom w:val="nil"/>
              <w:right w:val="nil"/>
            </w:tcBorders>
            <w:shd w:val="clear" w:color="000000" w:fill="FFFFFF"/>
            <w:noWrap/>
            <w:vAlign w:val="bottom"/>
            <w:hideMark/>
          </w:tcPr>
          <w:p w:rsidR="00C50773" w:rsidRPr="00C50773" w:rsidRDefault="00142F62" w:rsidP="00C50773">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w:t>
            </w:r>
            <w:r w:rsidR="002337A1">
              <w:rPr>
                <w:rFonts w:ascii="Calibri" w:hAnsi="Calibri"/>
                <w:color w:val="000000"/>
                <w:lang w:val="sr-Latn-BA" w:eastAsia="sr-Latn-BA"/>
              </w:rPr>
              <w:t>331.212,84</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2337A1" w:rsidP="00C50773">
            <w:pPr>
              <w:jc w:val="center"/>
              <w:rPr>
                <w:rFonts w:ascii="Calibri" w:hAnsi="Calibri"/>
                <w:color w:val="000000"/>
                <w:lang w:val="sr-Latn-BA" w:eastAsia="sr-Latn-BA"/>
              </w:rPr>
            </w:pPr>
            <w:r>
              <w:rPr>
                <w:rFonts w:ascii="Calibri" w:hAnsi="Calibri"/>
                <w:color w:val="000000"/>
                <w:lang w:val="sr-Latn-BA" w:eastAsia="sr-Latn-BA"/>
              </w:rPr>
              <w:t xml:space="preserve">                       461.094,93</w:t>
            </w:r>
            <w:r w:rsidR="00C50773" w:rsidRPr="00C50773">
              <w:rPr>
                <w:rFonts w:ascii="Calibri" w:hAnsi="Calibri"/>
                <w:color w:val="000000"/>
                <w:lang w:val="sr-Latn-BA" w:eastAsia="sr-Latn-BA"/>
              </w:rPr>
              <w:t xml:space="preserve">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2337A1" w:rsidP="002337A1">
            <w:pPr>
              <w:jc w:val="right"/>
              <w:rPr>
                <w:rFonts w:ascii="Calibri" w:hAnsi="Calibri"/>
                <w:color w:val="000000"/>
                <w:lang w:val="sr-Latn-BA" w:eastAsia="sr-Latn-BA"/>
              </w:rPr>
            </w:pPr>
            <w:r>
              <w:rPr>
                <w:rFonts w:ascii="Calibri" w:hAnsi="Calibri"/>
                <w:color w:val="000000"/>
                <w:lang w:val="sr-Latn-BA" w:eastAsia="sr-Latn-BA"/>
              </w:rPr>
              <w:t xml:space="preserve">                            243.429,64</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7C4288" w:rsidP="002337A1">
            <w:pPr>
              <w:jc w:val="right"/>
              <w:rPr>
                <w:rFonts w:ascii="Calibri" w:hAnsi="Calibri"/>
                <w:color w:val="000000"/>
                <w:lang w:val="sr-Latn-BA" w:eastAsia="sr-Latn-BA"/>
              </w:rPr>
            </w:pPr>
            <w:r>
              <w:rPr>
                <w:rFonts w:ascii="Calibri" w:hAnsi="Calibri"/>
                <w:color w:val="000000"/>
                <w:lang w:val="sr-Latn-BA" w:eastAsia="sr-Latn-BA"/>
              </w:rPr>
              <w:t xml:space="preserve">                            </w:t>
            </w:r>
            <w:r w:rsidR="002337A1">
              <w:rPr>
                <w:rFonts w:ascii="Calibri" w:hAnsi="Calibri"/>
                <w:color w:val="000000"/>
                <w:lang w:val="sr-Latn-BA" w:eastAsia="sr-Latn-BA"/>
              </w:rPr>
              <w:t>172,66</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69063C">
            <w:pPr>
              <w:rPr>
                <w:rFonts w:ascii="Calibri" w:hAnsi="Calibri"/>
                <w:color w:val="000000"/>
                <w:lang w:val="sr-Latn-BA" w:eastAsia="sr-Latn-BA"/>
              </w:rPr>
            </w:pPr>
            <w:r w:rsidRPr="00C50773">
              <w:rPr>
                <w:rFonts w:ascii="Calibri" w:hAnsi="Calibri"/>
                <w:color w:val="000000"/>
                <w:lang w:val="sr-Latn-BA" w:eastAsia="sr-Latn-BA"/>
              </w:rPr>
              <w:t>Neto realizovani</w:t>
            </w:r>
            <w:r w:rsidR="0069063C">
              <w:rPr>
                <w:rFonts w:ascii="Calibri" w:hAnsi="Calibri"/>
                <w:color w:val="000000"/>
                <w:lang w:val="sr-Latn-BA" w:eastAsia="sr-Latn-BA"/>
              </w:rPr>
              <w:t xml:space="preserve"> gubici (dobici</w:t>
            </w:r>
            <w:r w:rsidRPr="00C50773">
              <w:rPr>
                <w:rFonts w:ascii="Calibri" w:hAnsi="Calibri"/>
                <w:color w:val="000000"/>
                <w:lang w:val="sr-Latn-BA" w:eastAsia="sr-Latn-BA"/>
              </w:rPr>
              <w:t>)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69063C" w:rsidP="0069063C">
            <w:pPr>
              <w:jc w:val="right"/>
              <w:rPr>
                <w:rFonts w:ascii="Calibri" w:hAnsi="Calibri"/>
                <w:color w:val="000000"/>
                <w:lang w:val="sr-Latn-BA" w:eastAsia="sr-Latn-BA"/>
              </w:rPr>
            </w:pPr>
            <w:r>
              <w:rPr>
                <w:rFonts w:ascii="Calibri" w:hAnsi="Calibri"/>
                <w:color w:val="000000"/>
                <w:lang w:val="sr-Latn-BA" w:eastAsia="sr-Latn-BA"/>
              </w:rPr>
              <w:t xml:space="preserve">                            101,34</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7C4288" w:rsidRPr="00C50773" w:rsidTr="00F36B2B">
        <w:trPr>
          <w:trHeight w:val="310"/>
        </w:trPr>
        <w:tc>
          <w:tcPr>
            <w:tcW w:w="5820" w:type="dxa"/>
            <w:tcBorders>
              <w:top w:val="nil"/>
              <w:left w:val="nil"/>
              <w:bottom w:val="nil"/>
              <w:right w:val="nil"/>
            </w:tcBorders>
            <w:shd w:val="clear" w:color="000000" w:fill="FFFFFF"/>
            <w:noWrap/>
            <w:vAlign w:val="bottom"/>
            <w:hideMark/>
          </w:tcPr>
          <w:p w:rsidR="007C4288" w:rsidRPr="00C50773" w:rsidRDefault="007C4288" w:rsidP="00F36B2B">
            <w:pPr>
              <w:rPr>
                <w:rFonts w:ascii="Calibri" w:hAnsi="Calibri"/>
                <w:color w:val="000000"/>
                <w:lang w:val="sr-Latn-BA" w:eastAsia="sr-Latn-BA"/>
              </w:rPr>
            </w:pPr>
            <w:r>
              <w:rPr>
                <w:rFonts w:ascii="Calibri" w:hAnsi="Calibri"/>
                <w:color w:val="000000"/>
                <w:lang w:val="sr-Latn-BA" w:eastAsia="sr-Latn-BA"/>
              </w:rPr>
              <w:t xml:space="preserve">Ostali realizovani gubici </w:t>
            </w:r>
          </w:p>
        </w:tc>
        <w:tc>
          <w:tcPr>
            <w:tcW w:w="1880" w:type="dxa"/>
            <w:tcBorders>
              <w:top w:val="nil"/>
              <w:left w:val="nil"/>
              <w:bottom w:val="nil"/>
              <w:right w:val="nil"/>
            </w:tcBorders>
            <w:shd w:val="clear" w:color="000000" w:fill="FFFFFF"/>
            <w:noWrap/>
            <w:vAlign w:val="bottom"/>
            <w:hideMark/>
          </w:tcPr>
          <w:p w:rsidR="007C4288" w:rsidRPr="00C50773" w:rsidRDefault="007C4288" w:rsidP="00F36B2B">
            <w:pPr>
              <w:jc w:val="right"/>
              <w:rPr>
                <w:rFonts w:ascii="Calibri" w:hAnsi="Calibri"/>
                <w:color w:val="000000"/>
                <w:lang w:val="sr-Latn-BA" w:eastAsia="sr-Latn-BA"/>
              </w:rPr>
            </w:pPr>
            <w:r>
              <w:rPr>
                <w:rFonts w:ascii="Calibri" w:hAnsi="Calibri"/>
                <w:color w:val="000000"/>
                <w:lang w:val="sr-Latn-BA" w:eastAsia="sr-Latn-BA"/>
              </w:rPr>
              <w:t xml:space="preserve">                            278,44</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7C4288" w:rsidRPr="00C50773" w:rsidRDefault="007C4288" w:rsidP="00F36B2B">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2337A1">
              <w:rPr>
                <w:rFonts w:ascii="Calibri" w:hAnsi="Calibri"/>
                <w:b/>
                <w:bCs/>
                <w:lang w:val="sr-Latn-BA" w:eastAsia="sr-Latn-BA"/>
              </w:rPr>
              <w:t>dinu koja se završila 31.12.2018</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7C4288" w:rsidRDefault="00C50773" w:rsidP="007C4288">
            <w:pPr>
              <w:jc w:val="right"/>
              <w:rPr>
                <w:rFonts w:ascii="Calibri" w:hAnsi="Calibri"/>
                <w:b/>
                <w:color w:val="000000"/>
                <w:u w:val="single"/>
                <w:lang w:val="sr-Latn-BA" w:eastAsia="sr-Latn-BA"/>
              </w:rPr>
            </w:pPr>
            <w:r w:rsidRPr="007C4288">
              <w:rPr>
                <w:rFonts w:ascii="Calibri" w:hAnsi="Calibri"/>
                <w:b/>
                <w:color w:val="000000"/>
                <w:u w:val="single"/>
                <w:lang w:val="sr-Latn-BA" w:eastAsia="sr-Latn-BA"/>
              </w:rPr>
              <w:t xml:space="preserve">          </w:t>
            </w:r>
            <w:r w:rsidR="007C4288" w:rsidRPr="007C4288">
              <w:rPr>
                <w:rFonts w:ascii="Calibri" w:hAnsi="Calibri"/>
                <w:b/>
                <w:color w:val="000000"/>
                <w:u w:val="single"/>
                <w:lang w:val="sr-Latn-BA" w:eastAsia="sr-Latn-BA"/>
              </w:rPr>
              <w:t>87.</w:t>
            </w:r>
            <w:r w:rsidR="007C4288">
              <w:rPr>
                <w:rFonts w:ascii="Calibri" w:hAnsi="Calibri"/>
                <w:b/>
                <w:color w:val="000000"/>
                <w:u w:val="single"/>
                <w:lang w:val="sr-Latn-BA" w:eastAsia="sr-Latn-BA"/>
              </w:rPr>
              <w:t>576,08</w:t>
            </w:r>
            <w:r w:rsidRPr="007C4288">
              <w:rPr>
                <w:rFonts w:ascii="Calibri" w:hAnsi="Calibri"/>
                <w:b/>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7C4288" w:rsidRDefault="002337A1" w:rsidP="002337A1">
            <w:pPr>
              <w:jc w:val="center"/>
              <w:rPr>
                <w:rFonts w:ascii="Calibri" w:hAnsi="Calibri"/>
                <w:b/>
                <w:color w:val="000000"/>
                <w:u w:val="single"/>
                <w:lang w:val="sr-Latn-BA" w:eastAsia="sr-Latn-BA"/>
              </w:rPr>
            </w:pPr>
            <w:r w:rsidRPr="007C4288">
              <w:rPr>
                <w:rFonts w:ascii="Calibri" w:hAnsi="Calibri"/>
                <w:b/>
                <w:color w:val="000000"/>
                <w:u w:val="single"/>
                <w:lang w:val="sr-Latn-BA" w:eastAsia="sr-Latn-BA"/>
              </w:rPr>
              <w:t>461.094,93</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rea</w:t>
      </w:r>
      <w:r w:rsidR="007C4288">
        <w:rPr>
          <w:rFonts w:ascii="Calibri" w:hAnsi="Calibri" w:cs="Calibri"/>
          <w:noProof/>
        </w:rPr>
        <w:t>lizovani dobici/gubici za poslovnu 2018</w:t>
      </w:r>
      <w:r w:rsidRPr="00A47E7E">
        <w:rPr>
          <w:rFonts w:ascii="Calibri" w:hAnsi="Calibri" w:cs="Calibri"/>
          <w:noProof/>
        </w:rPr>
        <w:t xml:space="preserve">. godinu u iznosu od </w:t>
      </w:r>
      <w:r w:rsidR="007C4288" w:rsidRPr="007C4288">
        <w:rPr>
          <w:rFonts w:ascii="Calibri" w:hAnsi="Calibri" w:cs="Calibri"/>
          <w:noProof/>
        </w:rPr>
        <w:t>87.576,08</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B81B7B" w:rsidRPr="00A47E7E" w:rsidRDefault="00B81B7B" w:rsidP="00EF35D6">
      <w:pPr>
        <w:tabs>
          <w:tab w:val="left" w:pos="-1440"/>
          <w:tab w:val="left" w:pos="-720"/>
          <w:tab w:val="left" w:pos="889"/>
          <w:tab w:val="left" w:pos="1231"/>
          <w:tab w:val="right" w:pos="8960"/>
        </w:tabs>
        <w:rPr>
          <w:rFonts w:ascii="Calibri" w:hAnsi="Calibri" w:cs="Calibri"/>
          <w:b/>
          <w:noProof/>
        </w:rPr>
      </w:pPr>
    </w:p>
    <w:p w:rsidR="00952D10" w:rsidRPr="002C09E1" w:rsidRDefault="00952D10" w:rsidP="002C09E1">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Rashodi po osnovu provizija za upr</w:t>
      </w:r>
      <w:r w:rsidR="00142F62">
        <w:rPr>
          <w:rFonts w:ascii="Calibri" w:hAnsi="Calibri" w:cs="Calibri"/>
          <w:noProof/>
        </w:rPr>
        <w:t>avljanje Fondom za poslovnu 2018</w:t>
      </w:r>
      <w:r w:rsidRPr="00A47E7E">
        <w:rPr>
          <w:rFonts w:ascii="Calibri" w:hAnsi="Calibri" w:cs="Calibri"/>
          <w:noProof/>
        </w:rPr>
        <w:t xml:space="preserve">. godinu u iznosu od </w:t>
      </w:r>
      <w:r w:rsidR="00142F62">
        <w:rPr>
          <w:rFonts w:ascii="Calibri" w:hAnsi="Calibri" w:cs="Calibri"/>
          <w:noProof/>
        </w:rPr>
        <w:t>657.193</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8068" w:type="dxa"/>
        <w:tblInd w:w="99" w:type="dxa"/>
        <w:tblLook w:val="04A0"/>
      </w:tblPr>
      <w:tblGrid>
        <w:gridCol w:w="5120"/>
        <w:gridCol w:w="1760"/>
        <w:gridCol w:w="1188"/>
      </w:tblGrid>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790187">
              <w:rPr>
                <w:rFonts w:ascii="Calibri" w:hAnsi="Calibri"/>
                <w:b/>
                <w:bCs/>
                <w:color w:val="000000"/>
                <w:lang w:val="sr-Latn-BA" w:eastAsia="sr-Latn-BA"/>
              </w:rPr>
              <w:t>8</w:t>
            </w:r>
          </w:p>
        </w:tc>
        <w:tc>
          <w:tcPr>
            <w:tcW w:w="1188"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790187">
              <w:rPr>
                <w:rFonts w:ascii="Calibri" w:hAnsi="Calibri"/>
                <w:b/>
                <w:bCs/>
                <w:color w:val="000000"/>
                <w:lang w:val="sr-Latn-BA" w:eastAsia="sr-Latn-BA"/>
              </w:rPr>
              <w:t>7</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Troškovi osnivanja OMIF-a</w:t>
            </w:r>
          </w:p>
        </w:tc>
        <w:tc>
          <w:tcPr>
            <w:tcW w:w="1760" w:type="dxa"/>
            <w:tcBorders>
              <w:top w:val="nil"/>
              <w:left w:val="nil"/>
              <w:bottom w:val="nil"/>
              <w:right w:val="nil"/>
            </w:tcBorders>
            <w:shd w:val="clear" w:color="000000" w:fill="FFFFFF"/>
            <w:noWrap/>
            <w:vAlign w:val="bottom"/>
            <w:hideMark/>
          </w:tcPr>
          <w:p w:rsidR="00620BD3" w:rsidRPr="00620BD3" w:rsidRDefault="00620BD3" w:rsidP="00622A1A">
            <w:pPr>
              <w:rPr>
                <w:rFonts w:ascii="Calibri" w:hAnsi="Calibri"/>
                <w:color w:val="000000"/>
                <w:lang w:val="sr-Latn-BA" w:eastAsia="sr-Latn-BA"/>
              </w:rPr>
            </w:pPr>
            <w:r w:rsidRPr="00620BD3">
              <w:rPr>
                <w:rFonts w:ascii="Calibri" w:hAnsi="Calibri"/>
                <w:color w:val="000000"/>
                <w:lang w:val="sr-Latn-BA" w:eastAsia="sr-Latn-BA"/>
              </w:rPr>
              <w:t xml:space="preserve">          </w:t>
            </w:r>
          </w:p>
        </w:tc>
        <w:tc>
          <w:tcPr>
            <w:tcW w:w="1188" w:type="dxa"/>
            <w:tcBorders>
              <w:top w:val="nil"/>
              <w:left w:val="nil"/>
              <w:bottom w:val="nil"/>
              <w:right w:val="nil"/>
            </w:tcBorders>
            <w:shd w:val="clear" w:color="000000" w:fill="FFFFFF"/>
            <w:vAlign w:val="center"/>
            <w:hideMark/>
          </w:tcPr>
          <w:p w:rsidR="00620BD3" w:rsidRPr="00620BD3" w:rsidRDefault="00622A1A" w:rsidP="00620BD3">
            <w:pPr>
              <w:jc w:val="right"/>
              <w:rPr>
                <w:rFonts w:ascii="Calibri" w:hAnsi="Calibri"/>
                <w:color w:val="000000"/>
                <w:lang w:val="sr-Latn-BA" w:eastAsia="sr-Latn-BA"/>
              </w:rPr>
            </w:pPr>
            <w:r>
              <w:rPr>
                <w:rFonts w:ascii="Calibri" w:hAnsi="Calibri"/>
                <w:color w:val="000000"/>
                <w:lang w:val="sr-Latn-BA" w:eastAsia="sr-Latn-BA"/>
              </w:rPr>
              <w:t>27.196,78</w:t>
            </w:r>
          </w:p>
        </w:tc>
      </w:tr>
      <w:tr w:rsidR="00622A1A" w:rsidRPr="00620BD3" w:rsidTr="00622A1A">
        <w:trPr>
          <w:trHeight w:val="310"/>
        </w:trPr>
        <w:tc>
          <w:tcPr>
            <w:tcW w:w="5120" w:type="dxa"/>
            <w:tcBorders>
              <w:top w:val="nil"/>
              <w:left w:val="nil"/>
              <w:bottom w:val="nil"/>
              <w:right w:val="nil"/>
            </w:tcBorders>
            <w:shd w:val="clear" w:color="000000" w:fill="FFFFFF"/>
            <w:noWrap/>
            <w:vAlign w:val="bottom"/>
            <w:hideMark/>
          </w:tcPr>
          <w:p w:rsidR="00622A1A" w:rsidRPr="00620BD3" w:rsidRDefault="00622A1A" w:rsidP="00622A1A">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Komisije za HOV RS </w:t>
            </w:r>
          </w:p>
        </w:tc>
        <w:tc>
          <w:tcPr>
            <w:tcW w:w="1760" w:type="dxa"/>
            <w:tcBorders>
              <w:top w:val="nil"/>
              <w:left w:val="nil"/>
              <w:bottom w:val="nil"/>
              <w:right w:val="nil"/>
            </w:tcBorders>
            <w:shd w:val="clear" w:color="000000" w:fill="FFFFFF"/>
            <w:noWrap/>
            <w:vAlign w:val="bottom"/>
            <w:hideMark/>
          </w:tcPr>
          <w:p w:rsidR="00622A1A" w:rsidRPr="00620BD3" w:rsidRDefault="00622A1A" w:rsidP="00622A1A">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1.173,00</w:t>
            </w:r>
            <w:r w:rsidRPr="00620BD3">
              <w:rPr>
                <w:rFonts w:ascii="Calibri" w:hAnsi="Calibri"/>
                <w:color w:val="000000"/>
                <w:lang w:val="sr-Latn-BA" w:eastAsia="sr-Latn-BA"/>
              </w:rPr>
              <w:t xml:space="preserve">    </w:t>
            </w:r>
          </w:p>
        </w:tc>
        <w:tc>
          <w:tcPr>
            <w:tcW w:w="1188" w:type="dxa"/>
            <w:tcBorders>
              <w:top w:val="nil"/>
              <w:left w:val="nil"/>
              <w:bottom w:val="nil"/>
              <w:right w:val="nil"/>
            </w:tcBorders>
            <w:shd w:val="clear" w:color="000000" w:fill="FFFFFF"/>
            <w:vAlign w:val="center"/>
            <w:hideMark/>
          </w:tcPr>
          <w:p w:rsidR="00622A1A" w:rsidRPr="00620BD3" w:rsidRDefault="00622A1A" w:rsidP="00F36B2B">
            <w:pPr>
              <w:jc w:val="right"/>
              <w:rPr>
                <w:rFonts w:ascii="Calibri" w:hAnsi="Calibri"/>
                <w:color w:val="000000"/>
                <w:lang w:val="sr-Latn-BA" w:eastAsia="sr-Latn-BA"/>
              </w:rPr>
            </w:pPr>
            <w:r>
              <w:rPr>
                <w:rFonts w:ascii="Calibri" w:hAnsi="Calibri"/>
                <w:color w:val="000000"/>
                <w:lang w:val="sr-Latn-BA" w:eastAsia="sr-Latn-BA"/>
              </w:rPr>
              <w:t>-</w:t>
            </w:r>
            <w:r w:rsidRPr="00620BD3">
              <w:rPr>
                <w:rFonts w:ascii="Calibri" w:hAnsi="Calibri"/>
                <w:color w:val="000000"/>
                <w:lang w:val="sr-Latn-BA" w:eastAsia="sr-Latn-BA"/>
              </w:rPr>
              <w:t> </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2A1A" w:rsidRPr="00620BD3" w:rsidRDefault="00620BD3" w:rsidP="00620BD3">
            <w:pPr>
              <w:rPr>
                <w:rFonts w:ascii="Calibri" w:hAnsi="Calibri"/>
                <w:lang w:val="sr-Latn-BA" w:eastAsia="sr-Latn-BA"/>
              </w:rPr>
            </w:pPr>
            <w:r w:rsidRPr="00620BD3">
              <w:rPr>
                <w:rFonts w:ascii="Calibri" w:hAnsi="Calibri"/>
                <w:lang w:val="sr-Latn-BA" w:eastAsia="sr-Latn-BA"/>
              </w:rPr>
              <w:lastRenderedPageBreak/>
              <w:t> </w:t>
            </w:r>
          </w:p>
        </w:tc>
        <w:tc>
          <w:tcPr>
            <w:tcW w:w="176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2A1A">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w:t>
            </w:r>
            <w:r w:rsidR="00790187">
              <w:rPr>
                <w:rFonts w:ascii="Calibri" w:hAnsi="Calibri"/>
                <w:b/>
                <w:bCs/>
                <w:lang w:val="sr-Latn-BA" w:eastAsia="sr-Latn-BA"/>
              </w:rPr>
              <w:t>dinu koja se završila 31.12.2018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F36B2B" w:rsidRDefault="00620BD3" w:rsidP="00622A1A">
            <w:pPr>
              <w:jc w:val="right"/>
              <w:rPr>
                <w:rFonts w:ascii="Calibri" w:hAnsi="Calibri"/>
                <w:b/>
                <w:color w:val="000000"/>
                <w:u w:val="single"/>
                <w:lang w:val="sr-Latn-BA" w:eastAsia="sr-Latn-BA"/>
              </w:rPr>
            </w:pPr>
            <w:r w:rsidRPr="00620BD3">
              <w:rPr>
                <w:rFonts w:ascii="Calibri" w:hAnsi="Calibri"/>
                <w:color w:val="000000"/>
                <w:u w:val="single"/>
                <w:lang w:val="sr-Latn-BA" w:eastAsia="sr-Latn-BA"/>
              </w:rPr>
              <w:t xml:space="preserve">          </w:t>
            </w:r>
            <w:r w:rsidR="00622A1A" w:rsidRPr="00F36B2B">
              <w:rPr>
                <w:rFonts w:ascii="Calibri" w:hAnsi="Calibri"/>
                <w:b/>
                <w:color w:val="000000"/>
                <w:u w:val="single"/>
                <w:lang w:val="sr-Latn-BA" w:eastAsia="sr-Latn-BA"/>
              </w:rPr>
              <w:t>1.173,00</w:t>
            </w:r>
            <w:r w:rsidRPr="00F36B2B">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620BD3" w:rsidRPr="00620BD3" w:rsidRDefault="00620BD3" w:rsidP="00622A1A">
            <w:pPr>
              <w:jc w:val="right"/>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Default="00A9646E" w:rsidP="00A9646E">
      <w:pPr>
        <w:pStyle w:val="ListParagraph"/>
        <w:tabs>
          <w:tab w:val="left" w:pos="-1440"/>
          <w:tab w:val="left" w:pos="-720"/>
        </w:tabs>
        <w:ind w:left="0"/>
        <w:jc w:val="both"/>
        <w:rPr>
          <w:rFonts w:ascii="Calibri" w:hAnsi="Calibri" w:cs="Calibri"/>
          <w:noProof/>
          <w:szCs w:val="24"/>
          <w:lang w:val="sr-Latn-CS"/>
        </w:rPr>
      </w:pPr>
      <w:r w:rsidRPr="00A47E7E">
        <w:rPr>
          <w:rFonts w:ascii="Calibri" w:hAnsi="Calibri" w:cs="Calibri"/>
          <w:noProof/>
          <w:szCs w:val="24"/>
          <w:lang w:val="sr-Latn-CS"/>
        </w:rPr>
        <w:t xml:space="preserve">Ostali poslovni rashodi fonda za poslovnu </w:t>
      </w:r>
      <w:r w:rsidR="00790187">
        <w:rPr>
          <w:rFonts w:ascii="Calibri" w:hAnsi="Calibri" w:cs="Calibri"/>
          <w:noProof/>
          <w:szCs w:val="24"/>
          <w:lang w:val="sr-Latn-CS"/>
        </w:rPr>
        <w:t>2018</w:t>
      </w:r>
      <w:r w:rsidR="0003660C" w:rsidRPr="00A47E7E">
        <w:rPr>
          <w:rFonts w:ascii="Calibri" w:hAnsi="Calibri" w:cs="Calibri"/>
          <w:noProof/>
          <w:szCs w:val="24"/>
          <w:lang w:val="sr-Latn-CS"/>
        </w:rPr>
        <w:t xml:space="preserve">. godinu u iznosu od </w:t>
      </w:r>
      <w:r w:rsidR="000D098F">
        <w:rPr>
          <w:rFonts w:ascii="Calibri" w:hAnsi="Calibri" w:cs="Calibri"/>
          <w:noProof/>
          <w:szCs w:val="24"/>
          <w:lang w:val="sr-Latn-CS"/>
        </w:rPr>
        <w:t>131.173</w:t>
      </w:r>
      <w:r w:rsidR="0003660C" w:rsidRPr="00A47E7E">
        <w:rPr>
          <w:rFonts w:ascii="Calibri" w:hAnsi="Calibri" w:cs="Calibri"/>
          <w:noProof/>
          <w:szCs w:val="24"/>
          <w:lang w:val="sr-Latn-CS"/>
        </w:rPr>
        <w:t xml:space="preserve"> K</w:t>
      </w:r>
      <w:r w:rsidRPr="00A47E7E">
        <w:rPr>
          <w:rFonts w:ascii="Calibri" w:hAnsi="Calibri" w:cs="Calibri"/>
          <w:noProof/>
          <w:szCs w:val="24"/>
          <w:lang w:val="sr-Latn-CS"/>
        </w:rPr>
        <w:t>onvertibilnih maraka se najvećim di</w:t>
      </w:r>
      <w:r w:rsidR="00F36B2B">
        <w:rPr>
          <w:rFonts w:ascii="Calibri" w:hAnsi="Calibri" w:cs="Calibri"/>
          <w:noProof/>
          <w:szCs w:val="24"/>
          <w:lang w:val="sr-Latn-CS"/>
        </w:rPr>
        <w:t xml:space="preserve">jelom odnose na fiktivno uvećane rashode u iznosu od 130.000 Konvertibilnih </w:t>
      </w:r>
      <w:r w:rsidR="00044C85">
        <w:rPr>
          <w:rFonts w:ascii="Calibri" w:hAnsi="Calibri" w:cs="Calibri"/>
          <w:noProof/>
          <w:szCs w:val="24"/>
          <w:lang w:val="sr-Latn-CS"/>
        </w:rPr>
        <w:t>maraka</w:t>
      </w:r>
      <w:r w:rsidR="00F36B2B">
        <w:rPr>
          <w:rFonts w:ascii="Calibri" w:hAnsi="Calibri" w:cs="Calibri"/>
          <w:noProof/>
          <w:szCs w:val="24"/>
          <w:lang w:val="sr-Latn-CS"/>
        </w:rPr>
        <w:t>.</w:t>
      </w:r>
    </w:p>
    <w:p w:rsidR="00F36B2B" w:rsidRPr="00A47E7E" w:rsidRDefault="00F36B2B" w:rsidP="00A9646E">
      <w:pPr>
        <w:pStyle w:val="ListParagraph"/>
        <w:tabs>
          <w:tab w:val="left" w:pos="-1440"/>
          <w:tab w:val="left" w:pos="-720"/>
        </w:tabs>
        <w:ind w:left="0"/>
        <w:jc w:val="both"/>
        <w:rPr>
          <w:rFonts w:ascii="Calibri" w:hAnsi="Calibri" w:cs="Calibri"/>
          <w:noProof/>
          <w:szCs w:val="24"/>
          <w:lang w:val="sr-Latn-CS"/>
        </w:rPr>
      </w:pPr>
      <w:r>
        <w:rPr>
          <w:rFonts w:ascii="Calibri" w:hAnsi="Calibri" w:cs="Calibri"/>
          <w:noProof/>
          <w:szCs w:val="24"/>
          <w:lang w:val="sr-Latn-CS"/>
        </w:rPr>
        <w:t>Rashodi u iznosu 1.173,00 KM odnose se na naknade Komisiji za HOV RS.</w:t>
      </w: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D14AE6" w:rsidRPr="00CA640F" w:rsidRDefault="00D14AE6" w:rsidP="00CA640F">
      <w:pPr>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2E3967" w:rsidP="008020B2">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8020B2" w:rsidRPr="008020B2" w:rsidRDefault="002E3967" w:rsidP="008020B2">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2E3967">
              <w:rPr>
                <w:rFonts w:ascii="Calibri" w:hAnsi="Calibri"/>
                <w:color w:val="000000"/>
                <w:lang w:val="sr-Latn-BA" w:eastAsia="sr-Latn-BA"/>
              </w:rPr>
              <w:t>85.507,89</w:t>
            </w:r>
            <w:r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color w:val="000000"/>
                <w:lang w:val="sr-Latn-BA" w:eastAsia="sr-Latn-BA"/>
              </w:rPr>
            </w:pPr>
            <w:r w:rsidRPr="008020B2">
              <w:rPr>
                <w:rFonts w:ascii="Calibri" w:hAnsi="Calibri"/>
                <w:color w:val="000000"/>
                <w:lang w:val="sr-Latn-BA" w:eastAsia="sr-Latn-BA"/>
              </w:rPr>
              <w:t xml:space="preserve">             209.536,97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2677B9" w:rsidRPr="008020B2" w:rsidRDefault="002E3967" w:rsidP="008020B2">
            <w:pPr>
              <w:jc w:val="right"/>
              <w:rPr>
                <w:rFonts w:ascii="Calibri" w:hAnsi="Calibri"/>
                <w:color w:val="000000"/>
                <w:lang w:val="sr-Latn-BA" w:eastAsia="sr-Latn-BA"/>
              </w:rPr>
            </w:pPr>
            <w:r>
              <w:rPr>
                <w:rFonts w:ascii="Calibri" w:hAnsi="Calibri"/>
                <w:color w:val="000000"/>
                <w:lang w:val="sr-Latn-BA" w:eastAsia="sr-Latn-BA"/>
              </w:rPr>
              <w:t xml:space="preserve">                  30.142,20</w:t>
            </w:r>
            <w:r w:rsidR="002677B9"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color w:val="000000"/>
                <w:lang w:val="sr-Latn-BA" w:eastAsia="sr-Latn-BA"/>
              </w:rPr>
            </w:pPr>
            <w:r w:rsidRPr="008020B2">
              <w:rPr>
                <w:rFonts w:ascii="Calibri" w:hAnsi="Calibri"/>
                <w:color w:val="000000"/>
                <w:lang w:val="sr-Latn-BA" w:eastAsia="sr-Latn-BA"/>
              </w:rPr>
              <w:t xml:space="preserve">                  9.185,71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2677B9" w:rsidRPr="008020B2" w:rsidTr="008020B2">
        <w:trPr>
          <w:trHeight w:val="37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b/>
                <w:bCs/>
                <w:lang w:val="sr-Latn-BA" w:eastAsia="sr-Latn-BA"/>
              </w:rPr>
            </w:pPr>
            <w:r w:rsidRPr="008020B2">
              <w:rPr>
                <w:rFonts w:ascii="Calibri" w:hAnsi="Calibri"/>
                <w:b/>
                <w:bCs/>
                <w:lang w:val="sr-Latn-BA" w:eastAsia="sr-Latn-BA"/>
              </w:rPr>
              <w:t xml:space="preserve">Za godinu </w:t>
            </w:r>
            <w:r w:rsidR="002E3967">
              <w:rPr>
                <w:rFonts w:ascii="Calibri" w:hAnsi="Calibri"/>
                <w:b/>
                <w:bCs/>
                <w:lang w:val="sr-Latn-BA" w:eastAsia="sr-Latn-BA"/>
              </w:rPr>
              <w:t>koja se završila 31.12.2018</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2677B9" w:rsidRPr="008020B2" w:rsidRDefault="002E3967" w:rsidP="008020B2">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115.650,09</w:t>
            </w:r>
            <w:r w:rsidR="002677B9"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w:t>
            </w:r>
            <w:r w:rsidR="002E3967" w:rsidRPr="008020B2">
              <w:rPr>
                <w:rFonts w:ascii="Calibri" w:hAnsi="Calibri"/>
                <w:b/>
                <w:bCs/>
                <w:color w:val="000000"/>
                <w:u w:val="single"/>
                <w:lang w:val="sr-Latn-BA" w:eastAsia="sr-Latn-BA"/>
              </w:rPr>
              <w:t xml:space="preserve">             218.722,68    </w:t>
            </w:r>
            <w:r w:rsidRPr="008020B2">
              <w:rPr>
                <w:rFonts w:ascii="Calibri" w:hAnsi="Calibri"/>
                <w:b/>
                <w:bCs/>
                <w:color w:val="000000"/>
                <w:u w:val="single"/>
                <w:lang w:val="sr-Latn-BA" w:eastAsia="sr-Latn-BA"/>
              </w:rPr>
              <w:t xml:space="preserve">                      </w:t>
            </w:r>
            <w:r w:rsidR="002E3967">
              <w:rPr>
                <w:rFonts w:ascii="Calibri" w:hAnsi="Calibri"/>
                <w:b/>
                <w:bCs/>
                <w:color w:val="000000"/>
                <w:u w:val="single"/>
                <w:lang w:val="sr-Latn-BA" w:eastAsia="sr-Latn-BA"/>
              </w:rPr>
              <w:t xml:space="preserve">         </w:t>
            </w:r>
            <w:r w:rsidRPr="008020B2">
              <w:rPr>
                <w:rFonts w:ascii="Calibri" w:hAnsi="Calibri"/>
                <w:b/>
                <w:bCs/>
                <w:color w:val="000000"/>
                <w:u w:val="single"/>
                <w:lang w:val="sr-Latn-BA" w:eastAsia="sr-Latn-BA"/>
              </w:rPr>
              <w:t xml:space="preserve">      </w:t>
            </w:r>
          </w:p>
        </w:tc>
      </w:tr>
      <w:tr w:rsidR="002677B9" w:rsidRPr="008020B2" w:rsidTr="008020B2">
        <w:trPr>
          <w:trHeight w:val="310"/>
        </w:trPr>
        <w:tc>
          <w:tcPr>
            <w:tcW w:w="558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272CEA" w:rsidP="00EF35D6">
      <w:pPr>
        <w:tabs>
          <w:tab w:val="left" w:pos="-1440"/>
          <w:tab w:val="left" w:pos="-720"/>
          <w:tab w:val="left" w:pos="889"/>
          <w:tab w:val="left" w:pos="1231"/>
          <w:tab w:val="right" w:pos="8960"/>
        </w:tabs>
        <w:rPr>
          <w:rFonts w:ascii="Calibri" w:hAnsi="Calibri" w:cs="Calibri"/>
          <w:b/>
          <w:noProof/>
        </w:rPr>
      </w:pPr>
      <w:r>
        <w:rPr>
          <w:rFonts w:ascii="Calibri" w:hAnsi="Calibri" w:cs="Calibri"/>
          <w:b/>
          <w:noProof/>
        </w:rPr>
        <w:t xml:space="preserve"> </w:t>
      </w: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623"/>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2E3967">
              <w:rPr>
                <w:rFonts w:ascii="Calibri" w:hAnsi="Calibri"/>
                <w:b/>
                <w:bCs/>
                <w:color w:val="000000"/>
                <w:lang w:val="sr-Latn-BA" w:eastAsia="sr-Latn-BA"/>
              </w:rPr>
              <w:t>8</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2E3967">
              <w:rPr>
                <w:rFonts w:ascii="Calibri" w:hAnsi="Calibri"/>
                <w:b/>
                <w:bCs/>
                <w:color w:val="000000"/>
                <w:lang w:val="sr-Latn-BA" w:eastAsia="sr-Latn-BA"/>
              </w:rPr>
              <w:t>7</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Pr>
                <w:rFonts w:ascii="Calibri" w:hAnsi="Calibri"/>
                <w:color w:val="000000"/>
                <w:lang w:val="sr-Latn-BA" w:eastAsia="sr-Latn-BA"/>
              </w:rPr>
              <w:t xml:space="preserve">      17.005.161</w:t>
            </w:r>
            <w:r w:rsidR="000E654D">
              <w:rPr>
                <w:rFonts w:ascii="Calibri" w:hAnsi="Calibri"/>
                <w:color w:val="000000"/>
                <w:lang w:val="sr-Latn-BA" w:eastAsia="sr-Latn-BA"/>
              </w:rPr>
              <w:t>,36</w:t>
            </w:r>
            <w:r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2E3967" w:rsidRPr="007C048A" w:rsidRDefault="002E3967" w:rsidP="00320BEF">
            <w:pPr>
              <w:rPr>
                <w:rFonts w:ascii="Calibri" w:hAnsi="Calibri"/>
                <w:color w:val="000000"/>
                <w:lang w:val="sr-Latn-BA" w:eastAsia="sr-Latn-BA"/>
              </w:rPr>
            </w:pPr>
            <w:r w:rsidRPr="007C048A">
              <w:rPr>
                <w:rFonts w:ascii="Calibri" w:hAnsi="Calibri"/>
                <w:color w:val="000000"/>
                <w:lang w:val="sr-Latn-BA" w:eastAsia="sr-Latn-BA"/>
              </w:rPr>
              <w:t xml:space="preserve">      18.663.421,90    </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Pr>
                <w:rFonts w:ascii="Calibri" w:hAnsi="Calibri"/>
                <w:color w:val="000000"/>
                <w:lang w:val="sr-Latn-BA" w:eastAsia="sr-Latn-BA"/>
              </w:rPr>
              <w:t xml:space="preserve">         2.</w:t>
            </w:r>
            <w:r w:rsidR="000E654D">
              <w:rPr>
                <w:rFonts w:ascii="Calibri" w:hAnsi="Calibri"/>
                <w:color w:val="000000"/>
                <w:lang w:val="sr-Latn-BA" w:eastAsia="sr-Latn-BA"/>
              </w:rPr>
              <w:t>617.119,92</w:t>
            </w:r>
            <w:r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2E3967" w:rsidRPr="007C048A" w:rsidRDefault="002E3967" w:rsidP="00320BEF">
            <w:pPr>
              <w:rPr>
                <w:rFonts w:ascii="Calibri" w:hAnsi="Calibri"/>
                <w:color w:val="000000"/>
                <w:lang w:val="sr-Latn-BA" w:eastAsia="sr-Latn-BA"/>
              </w:rPr>
            </w:pPr>
            <w:r w:rsidRPr="007C048A">
              <w:rPr>
                <w:rFonts w:ascii="Calibri" w:hAnsi="Calibri"/>
                <w:color w:val="000000"/>
                <w:lang w:val="sr-Latn-BA" w:eastAsia="sr-Latn-BA"/>
              </w:rPr>
              <w:t xml:space="preserve">         2.179.870,91    </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2E3967" w:rsidRPr="007C048A" w:rsidRDefault="002E3967" w:rsidP="00320BEF">
            <w:pPr>
              <w:rPr>
                <w:rFonts w:ascii="Calibri" w:hAnsi="Calibri"/>
                <w:color w:val="000000"/>
                <w:lang w:val="sr-Latn-BA" w:eastAsia="sr-Latn-BA"/>
              </w:rPr>
            </w:pPr>
            <w:r w:rsidRPr="007C048A">
              <w:rPr>
                <w:rFonts w:ascii="Calibri" w:hAnsi="Calibri"/>
                <w:color w:val="000000"/>
                <w:lang w:val="sr-Latn-BA" w:eastAsia="sr-Latn-BA"/>
              </w:rPr>
              <w:t> </w:t>
            </w:r>
          </w:p>
        </w:tc>
      </w:tr>
      <w:tr w:rsidR="002E3967" w:rsidRPr="007C048A" w:rsidTr="007C048A">
        <w:trPr>
          <w:trHeight w:val="369"/>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b/>
                <w:bCs/>
                <w:lang w:val="sr-Latn-BA" w:eastAsia="sr-Latn-BA"/>
              </w:rPr>
            </w:pPr>
            <w:r>
              <w:rPr>
                <w:rFonts w:ascii="Calibri" w:hAnsi="Calibri"/>
                <w:b/>
                <w:bCs/>
                <w:lang w:val="sr-Latn-BA" w:eastAsia="sr-Latn-BA"/>
              </w:rPr>
              <w:t>Stanje na dan  31.12.2018</w:t>
            </w:r>
            <w:r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14.388.041</w:t>
            </w:r>
            <w:r w:rsidR="000E654D">
              <w:rPr>
                <w:rFonts w:ascii="Calibri" w:hAnsi="Calibri"/>
                <w:b/>
                <w:bCs/>
                <w:color w:val="000000"/>
                <w:u w:val="single"/>
                <w:lang w:val="sr-Latn-BA" w:eastAsia="sr-Latn-BA"/>
              </w:rPr>
              <w:t>,44</w:t>
            </w:r>
            <w:r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2E3967" w:rsidRPr="007C048A" w:rsidRDefault="002E3967" w:rsidP="00320BEF">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16.483.550,99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raspoložive za prodaju na dan 31. </w:t>
      </w:r>
      <w:r w:rsidR="000924CB" w:rsidRPr="00A47E7E">
        <w:rPr>
          <w:rFonts w:ascii="Calibri" w:hAnsi="Calibri" w:cs="Calibri"/>
          <w:noProof/>
          <w:lang w:val="sr-Latn-CS"/>
        </w:rPr>
        <w:t>d</w:t>
      </w:r>
      <w:r w:rsidR="000E654D">
        <w:rPr>
          <w:rFonts w:ascii="Calibri" w:hAnsi="Calibri" w:cs="Calibri"/>
          <w:noProof/>
          <w:lang w:val="sr-Latn-CS"/>
        </w:rPr>
        <w:t>ecembra 2018</w:t>
      </w:r>
      <w:r w:rsidRPr="00A47E7E">
        <w:rPr>
          <w:rFonts w:ascii="Calibri" w:hAnsi="Calibri" w:cs="Calibri"/>
          <w:noProof/>
          <w:lang w:val="sr-Latn-CS"/>
        </w:rPr>
        <w:t>. godine su:</w:t>
      </w:r>
    </w:p>
    <w:tbl>
      <w:tblPr>
        <w:tblW w:w="9220" w:type="dxa"/>
        <w:tblInd w:w="100" w:type="dxa"/>
        <w:tblLook w:val="04A0"/>
      </w:tblPr>
      <w:tblGrid>
        <w:gridCol w:w="3640"/>
        <w:gridCol w:w="2180"/>
        <w:gridCol w:w="1400"/>
        <w:gridCol w:w="2000"/>
      </w:tblGrid>
      <w:tr w:rsidR="000E654D" w:rsidRPr="00707478" w:rsidTr="00320BEF">
        <w:trPr>
          <w:trHeight w:val="772"/>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lastRenderedPageBreak/>
              <w:t> </w:t>
            </w:r>
          </w:p>
        </w:tc>
        <w:tc>
          <w:tcPr>
            <w:tcW w:w="2180" w:type="dxa"/>
            <w:tcBorders>
              <w:top w:val="single" w:sz="4" w:space="0" w:color="auto"/>
              <w:left w:val="nil"/>
              <w:bottom w:val="nil"/>
              <w:right w:val="nil"/>
            </w:tcBorders>
            <w:shd w:val="clear" w:color="000000" w:fill="FFFFFF"/>
            <w:vAlign w:val="center"/>
            <w:hideMark/>
          </w:tcPr>
          <w:p w:rsidR="000E654D" w:rsidRPr="00707478" w:rsidRDefault="000E654D" w:rsidP="00320BEF">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0E654D" w:rsidRPr="00707478" w:rsidRDefault="000E654D" w:rsidP="00320BEF">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0E654D" w:rsidRPr="00707478" w:rsidRDefault="000E654D" w:rsidP="00320BEF">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0E654D" w:rsidRPr="00707478" w:rsidTr="00320BEF">
        <w:trPr>
          <w:trHeight w:val="405"/>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0E654D" w:rsidRPr="00707478" w:rsidRDefault="000E654D" w:rsidP="000E654D">
            <w:pPr>
              <w:jc w:val="right"/>
              <w:rPr>
                <w:rFonts w:ascii="Calibri" w:hAnsi="Calibri"/>
                <w:sz w:val="20"/>
                <w:szCs w:val="20"/>
                <w:lang w:val="sr-Latn-BA" w:eastAsia="sr-Latn-BA"/>
              </w:rPr>
            </w:pPr>
            <w:r w:rsidRPr="00707478">
              <w:rPr>
                <w:rFonts w:ascii="Calibri" w:hAnsi="Calibri"/>
                <w:sz w:val="20"/>
                <w:szCs w:val="20"/>
                <w:lang w:val="sr-Latn-BA" w:eastAsia="sr-Latn-BA"/>
              </w:rPr>
              <w:t>2.</w:t>
            </w:r>
            <w:r>
              <w:rPr>
                <w:rFonts w:ascii="Calibri" w:hAnsi="Calibri"/>
                <w:sz w:val="20"/>
                <w:szCs w:val="20"/>
                <w:lang w:val="sr-Latn-BA" w:eastAsia="sr-Latn-BA"/>
              </w:rPr>
              <w:t>722.667,38</w:t>
            </w:r>
          </w:p>
        </w:tc>
        <w:tc>
          <w:tcPr>
            <w:tcW w:w="1400" w:type="dxa"/>
            <w:tcBorders>
              <w:top w:val="single" w:sz="4" w:space="0" w:color="auto"/>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15,34</w:t>
            </w:r>
            <w:r w:rsidRPr="00707478">
              <w:rPr>
                <w:rFonts w:ascii="Calibri" w:hAnsi="Calibri"/>
                <w:sz w:val="20"/>
                <w:szCs w:val="20"/>
                <w:lang w:val="sr-Latn-BA" w:eastAsia="sr-Latn-BA"/>
              </w:rPr>
              <w:t>%</w:t>
            </w:r>
          </w:p>
        </w:tc>
      </w:tr>
      <w:tr w:rsidR="000E654D" w:rsidRPr="00707478" w:rsidTr="00320BEF">
        <w:trPr>
          <w:trHeight w:val="405"/>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sz w:val="20"/>
                <w:szCs w:val="20"/>
                <w:lang w:val="sr-Latn-BA" w:eastAsia="sr-Latn-BA"/>
              </w:rPr>
            </w:pPr>
            <w:r w:rsidRPr="00707478">
              <w:rPr>
                <w:rFonts w:ascii="Calibri" w:hAnsi="Calibri"/>
                <w:sz w:val="20"/>
                <w:szCs w:val="20"/>
                <w:lang w:val="sr-Latn-BA" w:eastAsia="sr-Latn-BA"/>
              </w:rPr>
              <w:t>HE na Trebišn</w:t>
            </w:r>
            <w:r>
              <w:rPr>
                <w:rFonts w:ascii="Calibri" w:hAnsi="Calibri"/>
                <w:sz w:val="20"/>
                <w:szCs w:val="20"/>
                <w:lang w:val="sr-Latn-BA" w:eastAsia="sr-Latn-BA"/>
              </w:rPr>
              <w:t>jici ad Trebinje</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2.674.903,81</w:t>
            </w:r>
          </w:p>
        </w:tc>
        <w:tc>
          <w:tcPr>
            <w:tcW w:w="14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15</w:t>
            </w:r>
            <w:r w:rsidRPr="00707478">
              <w:rPr>
                <w:rFonts w:ascii="Calibri" w:hAnsi="Calibri"/>
                <w:sz w:val="20"/>
                <w:szCs w:val="20"/>
                <w:lang w:val="sr-Latn-BA" w:eastAsia="sr-Latn-BA"/>
              </w:rPr>
              <w:t>,07%</w:t>
            </w:r>
          </w:p>
        </w:tc>
      </w:tr>
      <w:tr w:rsidR="00D13580" w:rsidRPr="00707478" w:rsidTr="00320BEF">
        <w:trPr>
          <w:trHeight w:val="345"/>
        </w:trPr>
        <w:tc>
          <w:tcPr>
            <w:tcW w:w="3640" w:type="dxa"/>
            <w:tcBorders>
              <w:top w:val="nil"/>
              <w:left w:val="nil"/>
              <w:bottom w:val="nil"/>
              <w:right w:val="nil"/>
            </w:tcBorders>
            <w:shd w:val="clear" w:color="000000" w:fill="FFFFFF"/>
            <w:noWrap/>
            <w:vAlign w:val="bottom"/>
            <w:hideMark/>
          </w:tcPr>
          <w:p w:rsidR="00D13580" w:rsidRPr="00707478" w:rsidRDefault="00D13580" w:rsidP="00320BEF">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1.861.612,99</w:t>
            </w:r>
          </w:p>
        </w:tc>
        <w:tc>
          <w:tcPr>
            <w:tcW w:w="14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10,49</w:t>
            </w:r>
            <w:r w:rsidRPr="00707478">
              <w:rPr>
                <w:rFonts w:ascii="Calibri" w:hAnsi="Calibri"/>
                <w:sz w:val="20"/>
                <w:szCs w:val="20"/>
                <w:lang w:val="sr-Latn-BA" w:eastAsia="sr-Latn-BA"/>
              </w:rPr>
              <w:t>%</w:t>
            </w:r>
          </w:p>
        </w:tc>
      </w:tr>
      <w:tr w:rsidR="000E654D" w:rsidRPr="00707478" w:rsidTr="00320BEF">
        <w:trPr>
          <w:trHeight w:val="318"/>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1.727.694,05</w:t>
            </w:r>
          </w:p>
        </w:tc>
        <w:tc>
          <w:tcPr>
            <w:tcW w:w="14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9,73</w:t>
            </w:r>
            <w:r w:rsidRPr="00707478">
              <w:rPr>
                <w:rFonts w:ascii="Calibri" w:hAnsi="Calibri"/>
                <w:sz w:val="20"/>
                <w:szCs w:val="20"/>
                <w:lang w:val="sr-Latn-BA" w:eastAsia="sr-Latn-BA"/>
              </w:rPr>
              <w:t>%</w:t>
            </w:r>
          </w:p>
        </w:tc>
      </w:tr>
      <w:tr w:rsidR="00D13580" w:rsidRPr="00707478" w:rsidTr="00320BEF">
        <w:trPr>
          <w:trHeight w:val="318"/>
        </w:trPr>
        <w:tc>
          <w:tcPr>
            <w:tcW w:w="3640" w:type="dxa"/>
            <w:tcBorders>
              <w:top w:val="nil"/>
              <w:left w:val="nil"/>
              <w:bottom w:val="nil"/>
              <w:right w:val="nil"/>
            </w:tcBorders>
            <w:shd w:val="clear" w:color="000000" w:fill="FFFFFF"/>
            <w:noWrap/>
            <w:vAlign w:val="bottom"/>
            <w:hideMark/>
          </w:tcPr>
          <w:p w:rsidR="00D13580" w:rsidRPr="00707478" w:rsidRDefault="00D13580" w:rsidP="00320BEF">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1.392.852,55</w:t>
            </w:r>
          </w:p>
        </w:tc>
        <w:tc>
          <w:tcPr>
            <w:tcW w:w="14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7,85</w:t>
            </w:r>
            <w:r w:rsidRPr="00707478">
              <w:rPr>
                <w:rFonts w:ascii="Calibri" w:hAnsi="Calibri"/>
                <w:sz w:val="20"/>
                <w:szCs w:val="20"/>
                <w:lang w:val="sr-Latn-BA" w:eastAsia="sr-Latn-BA"/>
              </w:rPr>
              <w:t>%</w:t>
            </w:r>
          </w:p>
        </w:tc>
      </w:tr>
      <w:tr w:rsidR="00D13580" w:rsidRPr="00707478" w:rsidTr="00320BEF">
        <w:trPr>
          <w:trHeight w:val="318"/>
        </w:trPr>
        <w:tc>
          <w:tcPr>
            <w:tcW w:w="3640" w:type="dxa"/>
            <w:tcBorders>
              <w:top w:val="nil"/>
              <w:left w:val="nil"/>
              <w:bottom w:val="nil"/>
              <w:right w:val="nil"/>
            </w:tcBorders>
            <w:shd w:val="clear" w:color="000000" w:fill="FFFFFF"/>
            <w:noWrap/>
            <w:vAlign w:val="bottom"/>
            <w:hideMark/>
          </w:tcPr>
          <w:p w:rsidR="00D13580" w:rsidRPr="00707478" w:rsidRDefault="00D13580" w:rsidP="00320BEF">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980.021,84</w:t>
            </w:r>
          </w:p>
        </w:tc>
        <w:tc>
          <w:tcPr>
            <w:tcW w:w="14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5,52</w:t>
            </w:r>
            <w:r w:rsidRPr="00707478">
              <w:rPr>
                <w:rFonts w:ascii="Calibri" w:hAnsi="Calibri"/>
                <w:sz w:val="20"/>
                <w:szCs w:val="20"/>
                <w:lang w:val="sr-Latn-BA" w:eastAsia="sr-Latn-BA"/>
              </w:rPr>
              <w:t>%</w:t>
            </w:r>
          </w:p>
        </w:tc>
      </w:tr>
      <w:tr w:rsidR="00D13580" w:rsidRPr="00707478" w:rsidTr="00320BEF">
        <w:trPr>
          <w:trHeight w:val="318"/>
        </w:trPr>
        <w:tc>
          <w:tcPr>
            <w:tcW w:w="3640" w:type="dxa"/>
            <w:tcBorders>
              <w:top w:val="nil"/>
              <w:left w:val="nil"/>
              <w:bottom w:val="nil"/>
              <w:right w:val="nil"/>
            </w:tcBorders>
            <w:shd w:val="clear" w:color="000000" w:fill="FFFFFF"/>
            <w:noWrap/>
            <w:vAlign w:val="bottom"/>
            <w:hideMark/>
          </w:tcPr>
          <w:p w:rsidR="00D13580" w:rsidRPr="00707478" w:rsidRDefault="00D13580" w:rsidP="00320BEF">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484.991,08</w:t>
            </w:r>
          </w:p>
        </w:tc>
        <w:tc>
          <w:tcPr>
            <w:tcW w:w="14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2,73</w:t>
            </w:r>
            <w:r w:rsidRPr="00707478">
              <w:rPr>
                <w:rFonts w:ascii="Calibri" w:hAnsi="Calibri"/>
                <w:sz w:val="20"/>
                <w:szCs w:val="20"/>
                <w:lang w:val="sr-Latn-BA" w:eastAsia="sr-Latn-BA"/>
              </w:rPr>
              <w:t>%</w:t>
            </w:r>
          </w:p>
        </w:tc>
      </w:tr>
      <w:tr w:rsidR="00D13580" w:rsidRPr="00707478" w:rsidTr="00320BEF">
        <w:trPr>
          <w:trHeight w:val="318"/>
        </w:trPr>
        <w:tc>
          <w:tcPr>
            <w:tcW w:w="3640" w:type="dxa"/>
            <w:tcBorders>
              <w:top w:val="nil"/>
              <w:left w:val="nil"/>
              <w:bottom w:val="nil"/>
              <w:right w:val="nil"/>
            </w:tcBorders>
            <w:shd w:val="clear" w:color="000000" w:fill="FFFFFF"/>
            <w:noWrap/>
            <w:vAlign w:val="bottom"/>
            <w:hideMark/>
          </w:tcPr>
          <w:p w:rsidR="00D13580" w:rsidRPr="00707478" w:rsidRDefault="00D13580" w:rsidP="00320BEF">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440.707,57</w:t>
            </w:r>
          </w:p>
        </w:tc>
        <w:tc>
          <w:tcPr>
            <w:tcW w:w="14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noWrap/>
            <w:vAlign w:val="bottom"/>
            <w:hideMark/>
          </w:tcPr>
          <w:p w:rsidR="00D13580"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2,4</w:t>
            </w:r>
            <w:r w:rsidRPr="00707478">
              <w:rPr>
                <w:rFonts w:ascii="Calibri" w:hAnsi="Calibri"/>
                <w:sz w:val="20"/>
                <w:szCs w:val="20"/>
                <w:lang w:val="sr-Latn-BA" w:eastAsia="sr-Latn-BA"/>
              </w:rPr>
              <w:t>8%</w:t>
            </w:r>
          </w:p>
        </w:tc>
      </w:tr>
      <w:tr w:rsidR="000E654D" w:rsidRPr="00707478" w:rsidTr="00320BEF">
        <w:trPr>
          <w:trHeight w:val="360"/>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427.562,00</w:t>
            </w:r>
          </w:p>
        </w:tc>
        <w:tc>
          <w:tcPr>
            <w:tcW w:w="14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6,00</w:t>
            </w:r>
            <w:r w:rsidRPr="00707478">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0E654D" w:rsidRPr="00707478" w:rsidRDefault="000E654D" w:rsidP="00320BEF">
            <w:pPr>
              <w:jc w:val="right"/>
              <w:rPr>
                <w:rFonts w:ascii="Calibri" w:hAnsi="Calibri"/>
                <w:sz w:val="20"/>
                <w:szCs w:val="20"/>
                <w:lang w:val="sr-Latn-BA" w:eastAsia="sr-Latn-BA"/>
              </w:rPr>
            </w:pPr>
            <w:r>
              <w:rPr>
                <w:rFonts w:ascii="Calibri" w:hAnsi="Calibri"/>
                <w:sz w:val="20"/>
                <w:szCs w:val="20"/>
                <w:lang w:val="sr-Latn-BA" w:eastAsia="sr-Latn-BA"/>
              </w:rPr>
              <w:t>2,41</w:t>
            </w:r>
            <w:r w:rsidRPr="00707478">
              <w:rPr>
                <w:rFonts w:ascii="Calibri" w:hAnsi="Calibri"/>
                <w:sz w:val="20"/>
                <w:szCs w:val="20"/>
                <w:lang w:val="sr-Latn-BA" w:eastAsia="sr-Latn-BA"/>
              </w:rPr>
              <w:t>%</w:t>
            </w:r>
          </w:p>
        </w:tc>
      </w:tr>
      <w:tr w:rsidR="000E654D" w:rsidRPr="00707478" w:rsidTr="00320BEF">
        <w:trPr>
          <w:trHeight w:val="318"/>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0E654D"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210.956,51</w:t>
            </w:r>
          </w:p>
        </w:tc>
        <w:tc>
          <w:tcPr>
            <w:tcW w:w="1400" w:type="dxa"/>
            <w:tcBorders>
              <w:top w:val="nil"/>
              <w:left w:val="nil"/>
              <w:bottom w:val="nil"/>
              <w:right w:val="nil"/>
            </w:tcBorders>
            <w:shd w:val="clear" w:color="000000" w:fill="FFFFFF"/>
            <w:noWrap/>
            <w:vAlign w:val="bottom"/>
            <w:hideMark/>
          </w:tcPr>
          <w:p w:rsidR="000E654D"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2,00</w:t>
            </w:r>
            <w:r w:rsidR="000E654D" w:rsidRPr="00707478">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0E654D" w:rsidRPr="00707478" w:rsidRDefault="00D13580" w:rsidP="00320BEF">
            <w:pPr>
              <w:jc w:val="right"/>
              <w:rPr>
                <w:rFonts w:ascii="Calibri" w:hAnsi="Calibri"/>
                <w:sz w:val="20"/>
                <w:szCs w:val="20"/>
                <w:lang w:val="sr-Latn-BA" w:eastAsia="sr-Latn-BA"/>
              </w:rPr>
            </w:pPr>
            <w:r>
              <w:rPr>
                <w:rFonts w:ascii="Calibri" w:hAnsi="Calibri"/>
                <w:sz w:val="20"/>
                <w:szCs w:val="20"/>
                <w:lang w:val="sr-Latn-BA" w:eastAsia="sr-Latn-BA"/>
              </w:rPr>
              <w:t>1,88</w:t>
            </w:r>
            <w:r w:rsidR="000E654D" w:rsidRPr="00707478">
              <w:rPr>
                <w:rFonts w:ascii="Calibri" w:hAnsi="Calibri"/>
                <w:sz w:val="20"/>
                <w:szCs w:val="20"/>
                <w:lang w:val="sr-Latn-BA" w:eastAsia="sr-Latn-BA"/>
              </w:rPr>
              <w:t>%</w:t>
            </w:r>
          </w:p>
        </w:tc>
      </w:tr>
      <w:tr w:rsidR="000E654D" w:rsidRPr="00707478" w:rsidTr="00320BEF">
        <w:trPr>
          <w:trHeight w:val="318"/>
        </w:trPr>
        <w:tc>
          <w:tcPr>
            <w:tcW w:w="3640" w:type="dxa"/>
            <w:tcBorders>
              <w:top w:val="nil"/>
              <w:left w:val="nil"/>
              <w:bottom w:val="nil"/>
              <w:right w:val="nil"/>
            </w:tcBorders>
            <w:shd w:val="clear" w:color="000000" w:fill="FFFFFF"/>
            <w:vAlign w:val="center"/>
            <w:hideMark/>
          </w:tcPr>
          <w:p w:rsidR="000E654D" w:rsidRPr="00707478" w:rsidRDefault="000E654D" w:rsidP="00320BEF">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0E654D" w:rsidRPr="00707478" w:rsidRDefault="00A74E5F" w:rsidP="00320BEF">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1.464.071,66</w:t>
            </w:r>
            <w:r w:rsidR="000E654D" w:rsidRPr="00707478">
              <w:rPr>
                <w:rFonts w:ascii="Calibri" w:hAnsi="Calibri"/>
                <w:color w:val="000000"/>
                <w:sz w:val="20"/>
                <w:szCs w:val="20"/>
                <w:lang w:val="sr-Latn-BA" w:eastAsia="sr-Latn-BA"/>
              </w:rPr>
              <w:t xml:space="preserve"> </w:t>
            </w:r>
          </w:p>
        </w:tc>
        <w:tc>
          <w:tcPr>
            <w:tcW w:w="1400" w:type="dxa"/>
            <w:tcBorders>
              <w:top w:val="nil"/>
              <w:left w:val="nil"/>
              <w:bottom w:val="nil"/>
              <w:right w:val="nil"/>
            </w:tcBorders>
            <w:shd w:val="clear" w:color="000000" w:fill="FFFFFF"/>
            <w:vAlign w:val="center"/>
            <w:hideMark/>
          </w:tcPr>
          <w:p w:rsidR="000E654D" w:rsidRPr="00707478" w:rsidRDefault="000E654D" w:rsidP="00320BEF">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0E654D" w:rsidRPr="00707478" w:rsidRDefault="000E654D" w:rsidP="00320BEF">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0E654D" w:rsidRPr="00707478" w:rsidTr="00320BEF">
        <w:trPr>
          <w:trHeight w:val="326"/>
        </w:trPr>
        <w:tc>
          <w:tcPr>
            <w:tcW w:w="3640" w:type="dxa"/>
            <w:tcBorders>
              <w:top w:val="nil"/>
              <w:left w:val="nil"/>
              <w:bottom w:val="nil"/>
              <w:right w:val="nil"/>
            </w:tcBorders>
            <w:shd w:val="clear" w:color="000000" w:fill="FFFFFF"/>
            <w:noWrap/>
            <w:vAlign w:val="bottom"/>
            <w:hideMark/>
          </w:tcPr>
          <w:p w:rsidR="000E654D" w:rsidRPr="00707478" w:rsidRDefault="000E654D" w:rsidP="00320BEF">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A74E5F">
              <w:rPr>
                <w:rFonts w:ascii="Calibri" w:hAnsi="Calibri"/>
                <w:b/>
                <w:bCs/>
                <w:sz w:val="20"/>
                <w:szCs w:val="20"/>
                <w:lang w:val="sr-Latn-BA" w:eastAsia="sr-Latn-BA"/>
              </w:rPr>
              <w:t>. decembra 2018</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0E654D" w:rsidRPr="00707478" w:rsidRDefault="00D13580" w:rsidP="00320BEF">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14.388.041,44</w:t>
            </w:r>
            <w:r w:rsidR="000E654D"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0E654D" w:rsidRPr="00707478" w:rsidRDefault="000E654D" w:rsidP="00320BEF">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0E654D" w:rsidRPr="00707478" w:rsidRDefault="000E654D" w:rsidP="00320BEF">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2.718.283,05</w:t>
            </w:r>
          </w:p>
        </w:tc>
        <w:tc>
          <w:tcPr>
            <w:tcW w:w="1400" w:type="dxa"/>
            <w:tcBorders>
              <w:top w:val="single" w:sz="4" w:space="0" w:color="auto"/>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13,71%</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Trebišnici ad Trebinej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1.995.729,01</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10,07%</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1.657.943,70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8,36%</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1.551.180,42</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7,82%</w:t>
            </w:r>
          </w:p>
        </w:tc>
      </w:tr>
      <w:tr w:rsidR="00707478" w:rsidRPr="00707478" w:rsidTr="00707478">
        <w:trPr>
          <w:trHeight w:val="34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1.465.324,20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7,39%</w:t>
            </w:r>
          </w:p>
        </w:tc>
      </w:tr>
      <w:tr w:rsidR="00707478" w:rsidRPr="00707478" w:rsidTr="00707478">
        <w:trPr>
          <w:trHeight w:val="360"/>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5,39%</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1.024.548,63</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5,17%</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511.658,84</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2,58%</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482.927,28</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2,44%</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380.066,84</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1,92%</w:t>
            </w:r>
          </w:p>
        </w:tc>
      </w:tr>
      <w:tr w:rsidR="00707478" w:rsidRPr="00707478" w:rsidTr="00707478">
        <w:trPr>
          <w:trHeight w:val="318"/>
        </w:trPr>
        <w:tc>
          <w:tcPr>
            <w:tcW w:w="3640" w:type="dxa"/>
            <w:tcBorders>
              <w:top w:val="nil"/>
              <w:left w:val="nil"/>
              <w:bottom w:val="nil"/>
              <w:right w:val="nil"/>
            </w:tcBorders>
            <w:shd w:val="clear" w:color="000000" w:fill="FFFFFF"/>
            <w:vAlign w:val="center"/>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3.626.984,02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26"/>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0E654D">
              <w:rPr>
                <w:rFonts w:ascii="Calibri" w:hAnsi="Calibri"/>
                <w:b/>
                <w:bCs/>
                <w:sz w:val="20"/>
                <w:szCs w:val="20"/>
                <w:lang w:val="sr-Latn-BA" w:eastAsia="sr-Latn-BA"/>
              </w:rPr>
              <w:t>. decembra 2017</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16.483.550,99 </w:t>
            </w:r>
          </w:p>
        </w:tc>
        <w:tc>
          <w:tcPr>
            <w:tcW w:w="14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FE5618" w:rsidRPr="00335619"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highlight w:val="yellow"/>
          <w:lang w:val="sr-Latn-CS"/>
        </w:rPr>
      </w:pPr>
    </w:p>
    <w:p w:rsidR="00FE5618"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lastRenderedPageBreak/>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B5782" w:rsidP="000E3CC9">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0E3CC9" w:rsidRPr="000E3CC9" w:rsidRDefault="007B5782" w:rsidP="000E3CC9">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7B5782" w:rsidRPr="000E3CC9" w:rsidTr="000E3CC9">
        <w:trPr>
          <w:trHeight w:val="310"/>
        </w:trPr>
        <w:tc>
          <w:tcPr>
            <w:tcW w:w="4600" w:type="dxa"/>
            <w:tcBorders>
              <w:top w:val="nil"/>
              <w:left w:val="nil"/>
              <w:bottom w:val="nil"/>
              <w:right w:val="nil"/>
            </w:tcBorders>
            <w:shd w:val="clear" w:color="000000" w:fill="FFFFFF"/>
            <w:noWrap/>
            <w:vAlign w:val="bottom"/>
            <w:hideMark/>
          </w:tcPr>
          <w:p w:rsidR="007B5782" w:rsidRPr="000E3CC9" w:rsidRDefault="007B5782"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7B5782" w:rsidRPr="000E3CC9" w:rsidRDefault="007B5782" w:rsidP="007B5782">
            <w:pPr>
              <w:rPr>
                <w:rFonts w:ascii="Calibri" w:hAnsi="Calibri"/>
                <w:color w:val="000000"/>
                <w:lang w:val="sr-Latn-BA" w:eastAsia="sr-Latn-BA"/>
              </w:rPr>
            </w:pPr>
            <w:r w:rsidRPr="000E3CC9">
              <w:rPr>
                <w:rFonts w:ascii="Calibri" w:hAnsi="Calibri"/>
                <w:color w:val="000000"/>
                <w:lang w:val="sr-Latn-BA" w:eastAsia="sr-Latn-BA"/>
              </w:rPr>
              <w:t>3.</w:t>
            </w:r>
            <w:r>
              <w:rPr>
                <w:rFonts w:ascii="Calibri" w:hAnsi="Calibri"/>
                <w:color w:val="000000"/>
                <w:lang w:val="sr-Latn-BA" w:eastAsia="sr-Latn-BA"/>
              </w:rPr>
              <w:t>175.983,46</w:t>
            </w:r>
            <w:r w:rsidRPr="000E3CC9">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7B5782" w:rsidRPr="000E3CC9" w:rsidRDefault="007B5782" w:rsidP="00320BEF">
            <w:pPr>
              <w:rPr>
                <w:rFonts w:ascii="Calibri" w:hAnsi="Calibri"/>
                <w:color w:val="000000"/>
                <w:lang w:val="sr-Latn-BA" w:eastAsia="sr-Latn-BA"/>
              </w:rPr>
            </w:pPr>
            <w:r w:rsidRPr="000E3CC9">
              <w:rPr>
                <w:rFonts w:ascii="Calibri" w:hAnsi="Calibri"/>
                <w:color w:val="000000"/>
                <w:lang w:val="sr-Latn-BA" w:eastAsia="sr-Latn-BA"/>
              </w:rPr>
              <w:t xml:space="preserve">3.004.903,16    </w:t>
            </w:r>
          </w:p>
        </w:tc>
      </w:tr>
      <w:tr w:rsidR="007B5782" w:rsidRPr="000E3CC9" w:rsidTr="000E3CC9">
        <w:trPr>
          <w:trHeight w:val="310"/>
        </w:trPr>
        <w:tc>
          <w:tcPr>
            <w:tcW w:w="4600" w:type="dxa"/>
            <w:tcBorders>
              <w:top w:val="nil"/>
              <w:left w:val="nil"/>
              <w:bottom w:val="nil"/>
              <w:right w:val="nil"/>
            </w:tcBorders>
            <w:shd w:val="clear" w:color="000000" w:fill="FFFFFF"/>
            <w:noWrap/>
            <w:vAlign w:val="bottom"/>
            <w:hideMark/>
          </w:tcPr>
          <w:p w:rsidR="007B5782" w:rsidRPr="000E3CC9" w:rsidRDefault="007B5782"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7B5782" w:rsidRPr="000E3CC9" w:rsidRDefault="007B5782"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7B5782" w:rsidRPr="000E3CC9" w:rsidRDefault="007B5782" w:rsidP="00320BEF">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7B5782" w:rsidRPr="000E3CC9" w:rsidTr="000E3CC9">
        <w:trPr>
          <w:trHeight w:val="370"/>
        </w:trPr>
        <w:tc>
          <w:tcPr>
            <w:tcW w:w="4600" w:type="dxa"/>
            <w:tcBorders>
              <w:top w:val="nil"/>
              <w:left w:val="nil"/>
              <w:bottom w:val="nil"/>
              <w:right w:val="nil"/>
            </w:tcBorders>
            <w:shd w:val="clear" w:color="000000" w:fill="FFFFFF"/>
            <w:noWrap/>
            <w:vAlign w:val="bottom"/>
            <w:hideMark/>
          </w:tcPr>
          <w:p w:rsidR="007B5782" w:rsidRPr="000E3CC9" w:rsidRDefault="007B5782" w:rsidP="000E3CC9">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360" w:type="dxa"/>
            <w:tcBorders>
              <w:top w:val="nil"/>
              <w:left w:val="nil"/>
              <w:bottom w:val="nil"/>
              <w:right w:val="nil"/>
            </w:tcBorders>
            <w:shd w:val="clear" w:color="000000" w:fill="FFFFFF"/>
            <w:noWrap/>
            <w:vAlign w:val="bottom"/>
            <w:hideMark/>
          </w:tcPr>
          <w:p w:rsidR="007B5782" w:rsidRPr="000E3CC9" w:rsidRDefault="007B5782" w:rsidP="007B5782">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3.</w:t>
            </w:r>
            <w:r>
              <w:rPr>
                <w:rFonts w:ascii="Calibri" w:hAnsi="Calibri"/>
                <w:b/>
                <w:bCs/>
                <w:color w:val="000000"/>
                <w:u w:val="single"/>
                <w:lang w:val="sr-Latn-BA" w:eastAsia="sr-Latn-BA"/>
              </w:rPr>
              <w:t>175.983,4</w:t>
            </w:r>
            <w:r w:rsidRPr="000E3CC9">
              <w:rPr>
                <w:rFonts w:ascii="Calibri" w:hAnsi="Calibri"/>
                <w:b/>
                <w:bCs/>
                <w:color w:val="000000"/>
                <w:u w:val="single"/>
                <w:lang w:val="sr-Latn-BA" w:eastAsia="sr-Latn-BA"/>
              </w:rPr>
              <w:t xml:space="preserve">6    </w:t>
            </w:r>
          </w:p>
        </w:tc>
        <w:tc>
          <w:tcPr>
            <w:tcW w:w="2040" w:type="dxa"/>
            <w:tcBorders>
              <w:top w:val="nil"/>
              <w:left w:val="nil"/>
              <w:bottom w:val="nil"/>
              <w:right w:val="nil"/>
            </w:tcBorders>
            <w:shd w:val="clear" w:color="000000" w:fill="FFFFFF"/>
            <w:noWrap/>
            <w:vAlign w:val="bottom"/>
            <w:hideMark/>
          </w:tcPr>
          <w:p w:rsidR="007B5782" w:rsidRPr="000E3CC9" w:rsidRDefault="007B5782" w:rsidP="00320BEF">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3.004.903,16    </w:t>
            </w:r>
          </w:p>
        </w:tc>
      </w:tr>
      <w:tr w:rsidR="007B5782" w:rsidRPr="000E3CC9" w:rsidTr="000E3CC9">
        <w:trPr>
          <w:trHeight w:val="370"/>
        </w:trPr>
        <w:tc>
          <w:tcPr>
            <w:tcW w:w="460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u w:val="single"/>
                <w:lang w:val="sr-Latn-BA" w:eastAsia="sr-Latn-BA"/>
              </w:rPr>
            </w:pPr>
          </w:p>
        </w:tc>
      </w:tr>
    </w:tbl>
    <w:p w:rsidR="00FE5618" w:rsidRPr="00A47E7E" w:rsidRDefault="00FE5618" w:rsidP="00FE5618">
      <w:pPr>
        <w:tabs>
          <w:tab w:val="left" w:pos="-1440"/>
          <w:tab w:val="left" w:pos="-720"/>
          <w:tab w:val="left" w:pos="0"/>
          <w:tab w:val="left" w:pos="709"/>
          <w:tab w:val="left" w:pos="810"/>
          <w:tab w:val="left" w:pos="1344"/>
          <w:tab w:val="center" w:pos="6293"/>
          <w:tab w:val="left" w:pos="6498"/>
          <w:tab w:val="right" w:pos="7526"/>
          <w:tab w:val="left" w:pos="7728"/>
          <w:tab w:val="right" w:pos="9005"/>
        </w:tabs>
        <w:rPr>
          <w:rFonts w:ascii="Calibri" w:hAnsi="Calibri" w:cs="Calibri"/>
          <w:b/>
          <w:noProof/>
        </w:rPr>
      </w:pPr>
    </w:p>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B05655" w:rsidRDefault="00B0565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B05655" w:rsidRPr="00A47E7E" w:rsidRDefault="00B05655" w:rsidP="00B05655">
      <w:pPr>
        <w:pStyle w:val="Heading1"/>
        <w:rPr>
          <w:rFonts w:ascii="Calibri" w:hAnsi="Calibri" w:cs="Calibri"/>
          <w:noProof/>
          <w:sz w:val="24"/>
          <w:szCs w:val="24"/>
        </w:rPr>
      </w:pPr>
      <w:r w:rsidRPr="00A47E7E">
        <w:rPr>
          <w:rFonts w:ascii="Calibri" w:hAnsi="Calibri" w:cs="Calibri"/>
          <w:noProof/>
          <w:sz w:val="24"/>
          <w:szCs w:val="24"/>
        </w:rPr>
        <w:t xml:space="preserve">POTRAŽIVANJA PO OSNOVU </w:t>
      </w:r>
      <w:r>
        <w:rPr>
          <w:rFonts w:ascii="Calibri" w:hAnsi="Calibri" w:cs="Calibri"/>
          <w:noProof/>
          <w:sz w:val="24"/>
          <w:szCs w:val="24"/>
        </w:rPr>
        <w:t xml:space="preserve">KAMATA </w:t>
      </w:r>
      <w:r w:rsidR="005B0018">
        <w:rPr>
          <w:rFonts w:ascii="Calibri" w:hAnsi="Calibri" w:cs="Calibri"/>
          <w:noProof/>
          <w:sz w:val="24"/>
          <w:szCs w:val="24"/>
        </w:rPr>
        <w:t xml:space="preserve">I DIVIDENDI </w:t>
      </w:r>
    </w:p>
    <w:tbl>
      <w:tblPr>
        <w:tblW w:w="8300" w:type="dxa"/>
        <w:tblInd w:w="99" w:type="dxa"/>
        <w:tblLook w:val="04A0"/>
      </w:tblPr>
      <w:tblGrid>
        <w:gridCol w:w="4060"/>
        <w:gridCol w:w="2180"/>
        <w:gridCol w:w="2060"/>
      </w:tblGrid>
      <w:tr w:rsidR="00B05655" w:rsidRPr="00F54DDC" w:rsidTr="00B05655">
        <w:trPr>
          <w:trHeight w:val="310"/>
        </w:trPr>
        <w:tc>
          <w:tcPr>
            <w:tcW w:w="406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color w:val="000000"/>
                <w:lang w:val="sr-Latn-BA" w:eastAsia="sr-Latn-BA"/>
              </w:rPr>
            </w:pPr>
            <w:r w:rsidRPr="00F54DDC">
              <w:rPr>
                <w:rFonts w:ascii="Calibri" w:hAnsi="Calibri"/>
                <w:color w:val="000000"/>
                <w:lang w:val="sr-Latn-BA" w:eastAsia="sr-Latn-BA"/>
              </w:rPr>
              <w:t> </w:t>
            </w:r>
            <w:r w:rsidR="004C1860">
              <w:rPr>
                <w:rFonts w:ascii="Calibri" w:hAnsi="Calibri"/>
                <w:color w:val="000000"/>
                <w:lang w:val="sr-Latn-BA" w:eastAsia="sr-Latn-BA"/>
              </w:rPr>
              <w:t xml:space="preserve">KAMATE </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60" w:type="dxa"/>
            <w:tcBorders>
              <w:top w:val="nil"/>
              <w:left w:val="nil"/>
              <w:bottom w:val="nil"/>
              <w:right w:val="nil"/>
            </w:tcBorders>
            <w:shd w:val="clear" w:color="000000" w:fill="FFFFFF"/>
            <w:noWrap/>
            <w:vAlign w:val="bottom"/>
            <w:hideMark/>
          </w:tcPr>
          <w:p w:rsidR="00B05655" w:rsidRPr="00F54DDC" w:rsidRDefault="00B05655" w:rsidP="00B05655">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B05655" w:rsidRPr="00F54DDC" w:rsidTr="00B05655">
        <w:trPr>
          <w:trHeight w:val="310"/>
        </w:trPr>
        <w:tc>
          <w:tcPr>
            <w:tcW w:w="406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B05655" w:rsidRPr="00F54DDC" w:rsidTr="00B05655">
        <w:trPr>
          <w:trHeight w:val="310"/>
        </w:trPr>
        <w:tc>
          <w:tcPr>
            <w:tcW w:w="4060" w:type="dxa"/>
            <w:tcBorders>
              <w:top w:val="nil"/>
              <w:left w:val="nil"/>
              <w:bottom w:val="nil"/>
              <w:right w:val="nil"/>
            </w:tcBorders>
            <w:shd w:val="clear" w:color="000000" w:fill="FFFFFF"/>
            <w:vAlign w:val="center"/>
            <w:hideMark/>
          </w:tcPr>
          <w:p w:rsidR="00B05655" w:rsidRPr="00F54DDC" w:rsidRDefault="00B05655" w:rsidP="00B05655">
            <w:pPr>
              <w:rPr>
                <w:rFonts w:ascii="Calibri" w:hAnsi="Calibri"/>
                <w:color w:val="000000"/>
                <w:lang w:val="sr-Latn-BA" w:eastAsia="sr-Latn-BA"/>
              </w:rPr>
            </w:pPr>
            <w:r>
              <w:rPr>
                <w:rFonts w:ascii="Calibri" w:hAnsi="Calibri"/>
                <w:color w:val="000000"/>
                <w:lang w:val="sr-Latn-BA" w:eastAsia="sr-Latn-BA"/>
              </w:rPr>
              <w:t xml:space="preserve">Dugoročni depozit </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jc w:val="right"/>
              <w:rPr>
                <w:rFonts w:ascii="Calibri" w:hAnsi="Calibri"/>
                <w:color w:val="000000"/>
                <w:lang w:val="sr-Latn-BA" w:eastAsia="sr-Latn-BA"/>
              </w:rPr>
            </w:pPr>
            <w:r w:rsidRPr="00F54DDC">
              <w:rPr>
                <w:rFonts w:ascii="Calibri" w:hAnsi="Calibri"/>
                <w:color w:val="000000"/>
                <w:lang w:val="sr-Latn-BA" w:eastAsia="sr-Latn-BA"/>
              </w:rPr>
              <w:t xml:space="preserve">     </w:t>
            </w:r>
            <w:r>
              <w:rPr>
                <w:rFonts w:ascii="Calibri" w:hAnsi="Calibri"/>
                <w:color w:val="000000"/>
                <w:lang w:val="sr-Latn-BA" w:eastAsia="sr-Latn-BA"/>
              </w:rPr>
              <w:t xml:space="preserve">             225,51</w:t>
            </w:r>
            <w:r w:rsidRPr="00F54DDC">
              <w:rPr>
                <w:rFonts w:ascii="Calibri" w:hAnsi="Calibri"/>
                <w:color w:val="000000"/>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B05655" w:rsidRPr="00B73D86" w:rsidRDefault="00B73D86" w:rsidP="00B73D86">
            <w:pPr>
              <w:jc w:val="right"/>
              <w:rPr>
                <w:rFonts w:ascii="Calibri" w:hAnsi="Calibri"/>
                <w:color w:val="000000"/>
                <w:lang w:val="sr-Latn-BA" w:eastAsia="sr-Latn-BA"/>
              </w:rPr>
            </w:pPr>
            <w:r>
              <w:rPr>
                <w:rFonts w:ascii="Calibri" w:hAnsi="Calibri"/>
                <w:color w:val="000000"/>
                <w:lang w:val="sr-Latn-BA" w:eastAsia="sr-Latn-BA"/>
              </w:rPr>
              <w:t xml:space="preserve">                 6.659,72</w:t>
            </w:r>
            <w:r w:rsidR="00B05655" w:rsidRPr="00B73D86">
              <w:rPr>
                <w:rFonts w:ascii="Calibri" w:hAnsi="Calibri"/>
                <w:color w:val="000000"/>
                <w:lang w:val="sr-Latn-BA" w:eastAsia="sr-Latn-BA"/>
              </w:rPr>
              <w:t xml:space="preserve">   </w:t>
            </w:r>
          </w:p>
        </w:tc>
      </w:tr>
      <w:tr w:rsidR="00B05655" w:rsidRPr="00F54DDC" w:rsidTr="00B05655">
        <w:trPr>
          <w:trHeight w:val="310"/>
        </w:trPr>
        <w:tc>
          <w:tcPr>
            <w:tcW w:w="4060" w:type="dxa"/>
            <w:tcBorders>
              <w:top w:val="nil"/>
              <w:left w:val="nil"/>
              <w:bottom w:val="nil"/>
              <w:right w:val="nil"/>
            </w:tcBorders>
            <w:shd w:val="clear" w:color="000000" w:fill="FFFFFF"/>
            <w:vAlign w:val="center"/>
            <w:hideMark/>
          </w:tcPr>
          <w:p w:rsidR="00B05655" w:rsidRPr="00F54DDC" w:rsidRDefault="00B05655" w:rsidP="00B05655">
            <w:pPr>
              <w:rPr>
                <w:rFonts w:ascii="Calibri" w:hAnsi="Calibri"/>
                <w:color w:val="000000"/>
                <w:lang w:val="sr-Latn-BA" w:eastAsia="sr-Latn-BA"/>
              </w:rPr>
            </w:pPr>
            <w:r>
              <w:rPr>
                <w:rFonts w:ascii="Calibri" w:hAnsi="Calibri"/>
                <w:color w:val="000000"/>
                <w:lang w:val="sr-Latn-BA" w:eastAsia="sr-Latn-BA"/>
              </w:rPr>
              <w:t xml:space="preserve">Državne obveznice  </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jc w:val="right"/>
              <w:rPr>
                <w:rFonts w:ascii="Calibri" w:hAnsi="Calibri"/>
                <w:color w:val="000000"/>
                <w:lang w:val="sr-Latn-BA" w:eastAsia="sr-Latn-BA"/>
              </w:rPr>
            </w:pPr>
            <w:r w:rsidRPr="00F54DDC">
              <w:rPr>
                <w:rFonts w:ascii="Calibri" w:hAnsi="Calibri"/>
                <w:color w:val="000000"/>
                <w:lang w:val="sr-Latn-BA" w:eastAsia="sr-Latn-BA"/>
              </w:rPr>
              <w:t xml:space="preserve">     </w:t>
            </w:r>
            <w:r>
              <w:rPr>
                <w:rFonts w:ascii="Calibri" w:hAnsi="Calibri"/>
                <w:color w:val="000000"/>
                <w:lang w:val="sr-Latn-BA" w:eastAsia="sr-Latn-BA"/>
              </w:rPr>
              <w:t xml:space="preserve">             59,12</w:t>
            </w:r>
            <w:r w:rsidRPr="00F54DDC">
              <w:rPr>
                <w:rFonts w:ascii="Calibri" w:hAnsi="Calibri"/>
                <w:color w:val="000000"/>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B05655" w:rsidRPr="00B73D86" w:rsidRDefault="00B73D86" w:rsidP="00B73D86">
            <w:pPr>
              <w:jc w:val="right"/>
              <w:rPr>
                <w:rFonts w:ascii="Calibri" w:hAnsi="Calibri"/>
                <w:color w:val="000000"/>
                <w:lang w:val="sr-Latn-BA" w:eastAsia="sr-Latn-BA"/>
              </w:rPr>
            </w:pPr>
            <w:r>
              <w:rPr>
                <w:rFonts w:ascii="Calibri" w:hAnsi="Calibri"/>
                <w:color w:val="000000"/>
                <w:lang w:val="sr-Latn-BA" w:eastAsia="sr-Latn-BA"/>
              </w:rPr>
              <w:t xml:space="preserve">                  160,02</w:t>
            </w:r>
            <w:r w:rsidR="00B05655" w:rsidRPr="00B73D86">
              <w:rPr>
                <w:rFonts w:ascii="Calibri" w:hAnsi="Calibri"/>
                <w:color w:val="000000"/>
                <w:lang w:val="sr-Latn-BA" w:eastAsia="sr-Latn-BA"/>
              </w:rPr>
              <w:t xml:space="preserve"> </w:t>
            </w:r>
          </w:p>
        </w:tc>
      </w:tr>
      <w:tr w:rsidR="00B05655" w:rsidRPr="00F54DDC" w:rsidTr="00B05655">
        <w:trPr>
          <w:trHeight w:val="310"/>
        </w:trPr>
        <w:tc>
          <w:tcPr>
            <w:tcW w:w="406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jc w:val="right"/>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B05655" w:rsidRPr="00F54DDC" w:rsidRDefault="00B05655" w:rsidP="00B73D86">
            <w:pPr>
              <w:jc w:val="right"/>
              <w:rPr>
                <w:rFonts w:ascii="Calibri" w:hAnsi="Calibri"/>
                <w:color w:val="000000"/>
                <w:lang w:val="sr-Latn-BA" w:eastAsia="sr-Latn-BA"/>
              </w:rPr>
            </w:pPr>
            <w:r w:rsidRPr="00F54DDC">
              <w:rPr>
                <w:rFonts w:ascii="Calibri" w:hAnsi="Calibri"/>
                <w:color w:val="000000"/>
                <w:lang w:val="sr-Latn-BA" w:eastAsia="sr-Latn-BA"/>
              </w:rPr>
              <w:t> </w:t>
            </w:r>
          </w:p>
        </w:tc>
      </w:tr>
      <w:tr w:rsidR="00B05655" w:rsidRPr="00F54DDC" w:rsidTr="00B05655">
        <w:trPr>
          <w:trHeight w:val="370"/>
        </w:trPr>
        <w:tc>
          <w:tcPr>
            <w:tcW w:w="4060" w:type="dxa"/>
            <w:tcBorders>
              <w:top w:val="nil"/>
              <w:left w:val="nil"/>
              <w:bottom w:val="nil"/>
              <w:right w:val="nil"/>
            </w:tcBorders>
            <w:shd w:val="clear" w:color="000000" w:fill="FFFFFF"/>
            <w:noWrap/>
            <w:vAlign w:val="bottom"/>
            <w:hideMark/>
          </w:tcPr>
          <w:p w:rsidR="00B05655" w:rsidRPr="00F54DDC" w:rsidRDefault="00B05655" w:rsidP="00B05655">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180" w:type="dxa"/>
            <w:tcBorders>
              <w:top w:val="nil"/>
              <w:left w:val="nil"/>
              <w:bottom w:val="nil"/>
              <w:right w:val="nil"/>
            </w:tcBorders>
            <w:shd w:val="clear" w:color="000000" w:fill="FFFFFF"/>
            <w:noWrap/>
            <w:vAlign w:val="bottom"/>
            <w:hideMark/>
          </w:tcPr>
          <w:p w:rsidR="00B05655" w:rsidRPr="00F54DDC" w:rsidRDefault="00B05655" w:rsidP="00B05655">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284,63</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B05655" w:rsidRPr="00F54DDC" w:rsidRDefault="00B73D86" w:rsidP="00B73D86">
            <w:pPr>
              <w:jc w:val="right"/>
              <w:rPr>
                <w:rFonts w:ascii="Calibri" w:hAnsi="Calibri"/>
                <w:b/>
                <w:bCs/>
                <w:color w:val="000000"/>
                <w:u w:val="single"/>
                <w:lang w:val="sr-Latn-BA" w:eastAsia="sr-Latn-BA"/>
              </w:rPr>
            </w:pPr>
            <w:r>
              <w:rPr>
                <w:rFonts w:ascii="Calibri" w:hAnsi="Calibri"/>
                <w:b/>
                <w:bCs/>
                <w:color w:val="000000"/>
                <w:u w:val="single"/>
                <w:lang w:val="sr-Latn-BA" w:eastAsia="sr-Latn-BA"/>
              </w:rPr>
              <w:t>6.819,74</w:t>
            </w:r>
          </w:p>
        </w:tc>
      </w:tr>
    </w:tbl>
    <w:p w:rsidR="00FE5618" w:rsidRPr="00A47E7E" w:rsidRDefault="00FE5618" w:rsidP="004C1860">
      <w:pPr>
        <w:pStyle w:val="Heading1"/>
        <w:numPr>
          <w:ilvl w:val="0"/>
          <w:numId w:val="0"/>
        </w:numPr>
        <w:rPr>
          <w:rFonts w:ascii="Calibri" w:hAnsi="Calibri" w:cs="Calibri"/>
          <w:noProof/>
          <w:sz w:val="24"/>
          <w:szCs w:val="24"/>
        </w:rPr>
      </w:pPr>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r w:rsidR="004C1860">
              <w:rPr>
                <w:rFonts w:ascii="Calibri" w:hAnsi="Calibri"/>
                <w:color w:val="000000"/>
                <w:lang w:val="sr-Latn-BA" w:eastAsia="sr-Latn-BA"/>
              </w:rPr>
              <w:t xml:space="preserve">DIVIDENDE </w:t>
            </w:r>
          </w:p>
        </w:tc>
        <w:tc>
          <w:tcPr>
            <w:tcW w:w="2180" w:type="dxa"/>
            <w:tcBorders>
              <w:top w:val="nil"/>
              <w:left w:val="nil"/>
              <w:bottom w:val="nil"/>
              <w:right w:val="nil"/>
            </w:tcBorders>
            <w:shd w:val="clear" w:color="000000" w:fill="FFFFFF"/>
            <w:noWrap/>
            <w:vAlign w:val="bottom"/>
            <w:hideMark/>
          </w:tcPr>
          <w:p w:rsidR="00F54DDC" w:rsidRPr="00F54DDC" w:rsidRDefault="00172631" w:rsidP="00F54DDC">
            <w:pPr>
              <w:jc w:val="center"/>
              <w:rPr>
                <w:rFonts w:ascii="Calibri" w:hAnsi="Calibri"/>
                <w:b/>
                <w:bCs/>
                <w:color w:val="000000"/>
                <w:lang w:val="sr-Latn-BA" w:eastAsia="sr-Latn-BA"/>
              </w:rPr>
            </w:pPr>
            <w:r>
              <w:rPr>
                <w:rFonts w:ascii="Calibri" w:hAnsi="Calibri"/>
                <w:b/>
                <w:bCs/>
                <w:color w:val="000000"/>
                <w:lang w:val="sr-Latn-BA" w:eastAsia="sr-Latn-BA"/>
              </w:rPr>
              <w:t>201</w:t>
            </w:r>
            <w:r w:rsidR="004F1008">
              <w:rPr>
                <w:rFonts w:ascii="Calibri" w:hAnsi="Calibri"/>
                <w:b/>
                <w:bCs/>
                <w:color w:val="000000"/>
                <w:lang w:val="sr-Latn-BA" w:eastAsia="sr-Latn-BA"/>
              </w:rPr>
              <w:t>8</w:t>
            </w:r>
          </w:p>
        </w:tc>
        <w:tc>
          <w:tcPr>
            <w:tcW w:w="2060" w:type="dxa"/>
            <w:tcBorders>
              <w:top w:val="nil"/>
              <w:left w:val="nil"/>
              <w:bottom w:val="nil"/>
              <w:right w:val="nil"/>
            </w:tcBorders>
            <w:shd w:val="clear" w:color="000000" w:fill="FFFFFF"/>
            <w:noWrap/>
            <w:vAlign w:val="bottom"/>
            <w:hideMark/>
          </w:tcPr>
          <w:p w:rsidR="00F54DDC" w:rsidRPr="00F54DDC" w:rsidRDefault="00172631" w:rsidP="00F54DDC">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172631" w:rsidRPr="00F54DDC" w:rsidTr="00F54DDC">
        <w:trPr>
          <w:trHeight w:val="310"/>
        </w:trPr>
        <w:tc>
          <w:tcPr>
            <w:tcW w:w="4060" w:type="dxa"/>
            <w:tcBorders>
              <w:top w:val="nil"/>
              <w:left w:val="nil"/>
              <w:bottom w:val="nil"/>
              <w:right w:val="nil"/>
            </w:tcBorders>
            <w:shd w:val="clear" w:color="000000" w:fill="FFFFFF"/>
            <w:vAlign w:val="center"/>
            <w:hideMark/>
          </w:tcPr>
          <w:p w:rsidR="00172631" w:rsidRPr="00F54DDC" w:rsidRDefault="00172631" w:rsidP="00F54DDC">
            <w:pPr>
              <w:rPr>
                <w:rFonts w:ascii="Calibri" w:hAnsi="Calibri"/>
                <w:color w:val="000000"/>
                <w:lang w:val="sr-Latn-BA" w:eastAsia="sr-Latn-BA"/>
              </w:rPr>
            </w:pPr>
            <w:r w:rsidRPr="00F54DDC">
              <w:rPr>
                <w:rFonts w:ascii="Calibri" w:hAnsi="Calibri"/>
                <w:color w:val="000000"/>
                <w:lang w:val="sr-Latn-BA" w:eastAsia="sr-Latn-BA"/>
              </w:rPr>
              <w:t>Telekom Srpske a.d. Banja Luka</w:t>
            </w:r>
          </w:p>
        </w:tc>
        <w:tc>
          <w:tcPr>
            <w:tcW w:w="2180" w:type="dxa"/>
            <w:tcBorders>
              <w:top w:val="nil"/>
              <w:left w:val="nil"/>
              <w:bottom w:val="nil"/>
              <w:right w:val="nil"/>
            </w:tcBorders>
            <w:shd w:val="clear" w:color="000000" w:fill="FFFFFF"/>
            <w:noWrap/>
            <w:vAlign w:val="bottom"/>
            <w:hideMark/>
          </w:tcPr>
          <w:p w:rsidR="00172631" w:rsidRPr="00F54DDC" w:rsidRDefault="00172631" w:rsidP="004C1860">
            <w:pPr>
              <w:jc w:val="right"/>
              <w:rPr>
                <w:rFonts w:ascii="Calibri" w:hAnsi="Calibri"/>
                <w:color w:val="000000"/>
                <w:lang w:val="sr-Latn-BA" w:eastAsia="sr-Latn-BA"/>
              </w:rPr>
            </w:pPr>
            <w:r w:rsidRPr="00F54DDC">
              <w:rPr>
                <w:rFonts w:ascii="Calibri" w:hAnsi="Calibri"/>
                <w:color w:val="000000"/>
                <w:lang w:val="sr-Latn-BA" w:eastAsia="sr-Latn-BA"/>
              </w:rPr>
              <w:t xml:space="preserve">     </w:t>
            </w:r>
            <w:r>
              <w:rPr>
                <w:rFonts w:ascii="Calibri" w:hAnsi="Calibri"/>
                <w:color w:val="000000"/>
                <w:lang w:val="sr-Latn-BA" w:eastAsia="sr-Latn-BA"/>
              </w:rPr>
              <w:t xml:space="preserve">             72.066,48</w:t>
            </w:r>
            <w:r w:rsidRPr="00F54DDC">
              <w:rPr>
                <w:rFonts w:ascii="Calibri" w:hAnsi="Calibri"/>
                <w:color w:val="000000"/>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172631" w:rsidRPr="00F54DDC" w:rsidRDefault="004C1860" w:rsidP="004C1860">
            <w:pPr>
              <w:jc w:val="right"/>
              <w:rPr>
                <w:rFonts w:ascii="Calibri" w:hAnsi="Calibri"/>
                <w:color w:val="000000"/>
                <w:lang w:val="sr-Latn-BA" w:eastAsia="sr-Latn-BA"/>
              </w:rPr>
            </w:pPr>
            <w:r>
              <w:rPr>
                <w:rFonts w:ascii="Calibri" w:hAnsi="Calibri"/>
                <w:color w:val="000000"/>
                <w:lang w:val="sr-Latn-BA" w:eastAsia="sr-Latn-BA"/>
              </w:rPr>
              <w:t>-</w:t>
            </w:r>
            <w:r w:rsidR="00172631" w:rsidRPr="00F54DDC">
              <w:rPr>
                <w:rFonts w:ascii="Calibri" w:hAnsi="Calibri"/>
                <w:color w:val="000000"/>
                <w:lang w:val="sr-Latn-BA" w:eastAsia="sr-Latn-BA"/>
              </w:rPr>
              <w:t xml:space="preserve">                  83.023,77    </w:t>
            </w:r>
          </w:p>
        </w:tc>
      </w:tr>
      <w:tr w:rsidR="00172631" w:rsidRPr="00F54DDC" w:rsidTr="00F54DDC">
        <w:trPr>
          <w:trHeight w:val="310"/>
        </w:trPr>
        <w:tc>
          <w:tcPr>
            <w:tcW w:w="4060" w:type="dxa"/>
            <w:tcBorders>
              <w:top w:val="nil"/>
              <w:left w:val="nil"/>
              <w:bottom w:val="nil"/>
              <w:right w:val="nil"/>
            </w:tcBorders>
            <w:shd w:val="clear" w:color="000000" w:fill="FFFFFF"/>
            <w:noWrap/>
            <w:vAlign w:val="bottom"/>
            <w:hideMark/>
          </w:tcPr>
          <w:p w:rsidR="00172631" w:rsidRPr="00F54DDC" w:rsidRDefault="00172631"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172631" w:rsidRPr="00F54DDC" w:rsidRDefault="00172631"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172631" w:rsidRPr="00F54DDC" w:rsidRDefault="00172631" w:rsidP="0020651A">
            <w:pPr>
              <w:jc w:val="right"/>
              <w:rPr>
                <w:rFonts w:ascii="Calibri" w:hAnsi="Calibri"/>
                <w:color w:val="000000"/>
                <w:lang w:val="sr-Latn-BA" w:eastAsia="sr-Latn-BA"/>
              </w:rPr>
            </w:pPr>
            <w:r w:rsidRPr="00F54DDC">
              <w:rPr>
                <w:rFonts w:ascii="Calibri" w:hAnsi="Calibri"/>
                <w:color w:val="000000"/>
                <w:lang w:val="sr-Latn-BA" w:eastAsia="sr-Latn-BA"/>
              </w:rPr>
              <w:t> </w:t>
            </w:r>
          </w:p>
        </w:tc>
      </w:tr>
      <w:tr w:rsidR="00172631" w:rsidRPr="00F54DDC" w:rsidTr="00F54DDC">
        <w:trPr>
          <w:trHeight w:val="370"/>
        </w:trPr>
        <w:tc>
          <w:tcPr>
            <w:tcW w:w="4060" w:type="dxa"/>
            <w:tcBorders>
              <w:top w:val="nil"/>
              <w:left w:val="nil"/>
              <w:bottom w:val="nil"/>
              <w:right w:val="nil"/>
            </w:tcBorders>
            <w:shd w:val="clear" w:color="000000" w:fill="FFFFFF"/>
            <w:noWrap/>
            <w:vAlign w:val="bottom"/>
            <w:hideMark/>
          </w:tcPr>
          <w:p w:rsidR="00172631" w:rsidRPr="00F54DDC" w:rsidRDefault="00172631" w:rsidP="00F54DDC">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180" w:type="dxa"/>
            <w:tcBorders>
              <w:top w:val="nil"/>
              <w:left w:val="nil"/>
              <w:bottom w:val="nil"/>
              <w:right w:val="nil"/>
            </w:tcBorders>
            <w:shd w:val="clear" w:color="000000" w:fill="FFFFFF"/>
            <w:noWrap/>
            <w:vAlign w:val="bottom"/>
            <w:hideMark/>
          </w:tcPr>
          <w:p w:rsidR="00172631" w:rsidRPr="00F54DDC" w:rsidRDefault="00172631" w:rsidP="004C1860">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72.066,48</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172631" w:rsidRPr="00F54DDC" w:rsidRDefault="00172631" w:rsidP="004C1860">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83.023,77                   </w:t>
            </w:r>
          </w:p>
        </w:tc>
      </w:tr>
    </w:tbl>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Potraživanja po osnovu dividende u cjelini se odnose na nenaplaćena potraživanja od emitenata po osnovu raspodjele dobiti.</w:t>
      </w: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29" w:name="_Toc506796522"/>
      <w:r w:rsidRPr="00A47E7E">
        <w:rPr>
          <w:rFonts w:ascii="Calibri" w:hAnsi="Calibri" w:cs="Calibri"/>
          <w:noProof/>
          <w:sz w:val="24"/>
          <w:szCs w:val="24"/>
        </w:rPr>
        <w:t>OBAVEZE PREMA DRUŠTVU ZA UPRAVLJANJE</w:t>
      </w:r>
      <w:bookmarkEnd w:id="29"/>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Obaveza</w:t>
      </w:r>
      <w:r w:rsidR="00DB0524">
        <w:rPr>
          <w:rFonts w:ascii="Calibri" w:eastAsia="Arial Unicode MS" w:hAnsi="Calibri" w:cs="Calibri"/>
          <w:noProof/>
          <w:lang w:val="sr-Latn-CS"/>
        </w:rPr>
        <w:t xml:space="preserve"> prema Društvu na dan 31.12.2018</w:t>
      </w:r>
      <w:r w:rsidRPr="00A47E7E">
        <w:rPr>
          <w:rFonts w:ascii="Calibri" w:eastAsia="Arial Unicode MS" w:hAnsi="Calibri" w:cs="Calibri"/>
          <w:noProof/>
          <w:lang w:val="sr-Latn-CS"/>
        </w:rPr>
        <w:t xml:space="preserve">. godine iznose </w:t>
      </w:r>
      <w:r w:rsidR="00DB0524">
        <w:rPr>
          <w:rFonts w:ascii="Calibri" w:eastAsia="Arial Unicode MS" w:hAnsi="Calibri" w:cs="Calibri"/>
          <w:noProof/>
          <w:lang w:val="sr-Latn-CS"/>
        </w:rPr>
        <w:t>51.869,91</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odnose </w:t>
      </w:r>
      <w:r w:rsidR="00DB0524" w:rsidRPr="00A47E7E">
        <w:rPr>
          <w:rFonts w:ascii="Calibri" w:eastAsia="Arial Unicode MS" w:hAnsi="Calibri" w:cs="Calibri"/>
          <w:noProof/>
          <w:lang w:val="sr-Latn-CS"/>
        </w:rPr>
        <w:t xml:space="preserve">se </w:t>
      </w:r>
      <w:r w:rsidR="00DB55A5" w:rsidRPr="00A47E7E">
        <w:rPr>
          <w:rFonts w:ascii="Calibri" w:eastAsia="Arial Unicode MS" w:hAnsi="Calibri" w:cs="Calibri"/>
          <w:noProof/>
          <w:lang w:val="sr-Latn-CS"/>
        </w:rPr>
        <w:t xml:space="preserve">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0" w:name="_Toc506796523"/>
      <w:r w:rsidRPr="00A47E7E">
        <w:rPr>
          <w:rFonts w:ascii="Calibri" w:hAnsi="Calibri" w:cs="Calibri"/>
          <w:noProof/>
          <w:sz w:val="24"/>
          <w:szCs w:val="24"/>
        </w:rPr>
        <w:lastRenderedPageBreak/>
        <w:t>KAPITAL</w:t>
      </w:r>
      <w:bookmarkEnd w:id="30"/>
    </w:p>
    <w:p w:rsidR="003457FC" w:rsidRPr="00A47E7E" w:rsidRDefault="003457FC" w:rsidP="00F014B7">
      <w:pPr>
        <w:pStyle w:val="Heading2"/>
        <w:jc w:val="center"/>
        <w:rPr>
          <w:rFonts w:ascii="Calibri" w:hAnsi="Calibri" w:cs="Calibri"/>
          <w:noProof/>
          <w:sz w:val="24"/>
          <w:szCs w:val="24"/>
        </w:rPr>
      </w:pPr>
      <w:bookmarkStart w:id="31" w:name="_Toc506796524"/>
      <w:r w:rsidRPr="00A47E7E">
        <w:rPr>
          <w:rFonts w:ascii="Calibri" w:hAnsi="Calibri" w:cs="Calibri"/>
          <w:noProof/>
          <w:sz w:val="24"/>
          <w:szCs w:val="24"/>
        </w:rPr>
        <w:t>Osnovni kapital- udjeli</w:t>
      </w:r>
      <w:bookmarkEnd w:id="31"/>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0038D">
        <w:rPr>
          <w:rFonts w:ascii="Calibri" w:hAnsi="Calibri" w:cs="Calibri"/>
          <w:lang w:val="hr-HR"/>
        </w:rPr>
        <w:t>Kristal invest</w:t>
      </w:r>
      <w:r w:rsidRPr="00A47E7E">
        <w:rPr>
          <w:rFonts w:ascii="Calibri" w:hAnsi="Calibri" w:cs="Calibri"/>
          <w:lang w:val="hr-HR"/>
        </w:rPr>
        <w:t xml:space="preserve"> fond</w:t>
      </w:r>
      <w:r w:rsidR="0060038D">
        <w:rPr>
          <w:rFonts w:ascii="Calibri" w:hAnsi="Calibri" w:cs="Calibri"/>
          <w:lang w:val="hr-HR"/>
        </w:rPr>
        <w:t>-a</w:t>
      </w:r>
      <w:r w:rsidRPr="00A47E7E">
        <w:rPr>
          <w:rFonts w:ascii="Calibri" w:hAnsi="Calibri" w:cs="Calibri"/>
          <w:lang w:val="hr-HR"/>
        </w:rPr>
        <w:t xml:space="preserve"> ad Banja Luka (prečišćen tekst) broj </w:t>
      </w:r>
      <w:r w:rsidR="0060038D" w:rsidRPr="0060038D">
        <w:rPr>
          <w:rFonts w:ascii="Calibri" w:hAnsi="Calibri" w:cs="Calibri"/>
          <w:lang w:val="hr-HR"/>
        </w:rPr>
        <w:t>103-SKZMIF/17 od 03.04</w:t>
      </w:r>
      <w:r w:rsidRPr="0060038D">
        <w:rPr>
          <w:rFonts w:ascii="Calibri" w:hAnsi="Calibri" w:cs="Calibri"/>
          <w:lang w:val="hr-HR"/>
        </w:rPr>
        <w:t xml:space="preserve">.2017 u vrijednosti od </w:t>
      </w:r>
      <w:r w:rsidR="00347602">
        <w:rPr>
          <w:rFonts w:ascii="Calibri" w:hAnsi="Calibri" w:cs="Calibri"/>
          <w:lang w:val="hr-HR"/>
        </w:rPr>
        <w:t>21.604.677</w:t>
      </w:r>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Osnovni kapital je raspoređen na udjelničare tako da svakom udjelničaru pripada broj udjela srazmjezmjeran broju akcija u ZMIF-u </w:t>
      </w:r>
      <w:r w:rsidR="00DB0524">
        <w:rPr>
          <w:rFonts w:ascii="Calibri" w:hAnsi="Calibri" w:cs="Calibri"/>
          <w:noProof/>
        </w:rPr>
        <w:t>Kristal invest f</w:t>
      </w:r>
      <w:r w:rsidRPr="00A47E7E">
        <w:rPr>
          <w:rFonts w:ascii="Calibri" w:hAnsi="Calibri" w:cs="Calibri"/>
          <w:noProof/>
        </w:rPr>
        <w:t xml:space="preserve">ond ad Banja Luka na dan osnivanja otvorenog investicionog fonda </w:t>
      </w:r>
      <w:r w:rsidR="00DB0524">
        <w:rPr>
          <w:rFonts w:ascii="Calibri" w:hAnsi="Calibri" w:cs="Calibri"/>
          <w:noProof/>
        </w:rPr>
        <w:t>Opportunity</w:t>
      </w:r>
      <w:r w:rsidRPr="00A47E7E">
        <w:rPr>
          <w:rFonts w:ascii="Calibri" w:hAnsi="Calibri" w:cs="Calibri"/>
          <w:noProof/>
        </w:rPr>
        <w:t xml:space="preserve"> Fund </w:t>
      </w:r>
      <w:r w:rsidR="00DB0524">
        <w:rPr>
          <w:rFonts w:ascii="Calibri" w:hAnsi="Calibri" w:cs="Calibri"/>
          <w:noProof/>
        </w:rPr>
        <w:t>17</w:t>
      </w:r>
      <w:r w:rsidRPr="00A47E7E">
        <w:rPr>
          <w:rFonts w:ascii="Calibri" w:hAnsi="Calibri" w:cs="Calibri"/>
          <w:noProof/>
        </w:rPr>
        <w:t>.09.2017. godine</w:t>
      </w:r>
      <w:r w:rsidR="00347602">
        <w:rPr>
          <w:rFonts w:ascii="Calibri" w:hAnsi="Calibri" w:cs="Calibri"/>
          <w:noProof/>
        </w:rPr>
        <w:t>,</w:t>
      </w:r>
      <w:r w:rsidRPr="00A47E7E">
        <w:rPr>
          <w:rFonts w:ascii="Calibri" w:hAnsi="Calibri" w:cs="Calibri"/>
          <w:noProof/>
        </w:rPr>
        <w:t xml:space="preserve"> a na osnovu liste akcionara u Centralnom registru hartija od vrijednosti Republike Srpske.</w:t>
      </w:r>
    </w:p>
    <w:p w:rsidR="009832DC"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Na dan 31. decembra 2017. godine </w:t>
      </w:r>
      <w:r w:rsidR="00284F2B" w:rsidRPr="00A47E7E">
        <w:rPr>
          <w:rFonts w:ascii="Calibri" w:hAnsi="Calibri" w:cs="Calibri"/>
          <w:noProof/>
        </w:rPr>
        <w:t xml:space="preserve">broj udjela </w:t>
      </w:r>
      <w:r w:rsidR="004F20F1">
        <w:rPr>
          <w:rFonts w:ascii="Calibri" w:hAnsi="Calibri" w:cs="Calibri"/>
          <w:noProof/>
        </w:rPr>
        <w:t xml:space="preserve">je </w:t>
      </w:r>
      <w:r w:rsidR="00284F2B" w:rsidRPr="00A47E7E">
        <w:rPr>
          <w:rFonts w:ascii="Calibri" w:hAnsi="Calibri" w:cs="Calibri"/>
          <w:noProof/>
        </w:rPr>
        <w:t>iznosi</w:t>
      </w:r>
      <w:r w:rsidR="004F20F1">
        <w:rPr>
          <w:rFonts w:ascii="Calibri" w:hAnsi="Calibri" w:cs="Calibri"/>
          <w:noProof/>
        </w:rPr>
        <w:t>o</w:t>
      </w:r>
      <w:r w:rsidRPr="00A47E7E">
        <w:rPr>
          <w:rFonts w:ascii="Calibri" w:hAnsi="Calibri" w:cs="Calibri"/>
          <w:noProof/>
        </w:rPr>
        <w:t xml:space="preserve"> </w:t>
      </w:r>
      <w:r w:rsidR="004F20F1">
        <w:rPr>
          <w:rFonts w:ascii="Calibri" w:hAnsi="Calibri" w:cs="Calibri"/>
          <w:noProof/>
        </w:rPr>
        <w:t>3.224.829</w:t>
      </w:r>
      <w:r w:rsidRPr="00A47E7E">
        <w:rPr>
          <w:rFonts w:ascii="Calibri" w:hAnsi="Calibri" w:cs="Calibri"/>
          <w:noProof/>
        </w:rPr>
        <w:t xml:space="preserve">. </w:t>
      </w:r>
    </w:p>
    <w:p w:rsidR="004F20F1" w:rsidRDefault="00A43895" w:rsidP="009832DC">
      <w:pPr>
        <w:pStyle w:val="BodyTextIndent"/>
        <w:suppressAutoHyphens/>
        <w:ind w:left="0"/>
        <w:jc w:val="both"/>
        <w:rPr>
          <w:rFonts w:ascii="Calibri" w:hAnsi="Calibri" w:cs="Calibri"/>
          <w:noProof/>
        </w:rPr>
      </w:pPr>
      <w:r>
        <w:rPr>
          <w:rFonts w:ascii="Calibri" w:hAnsi="Calibri" w:cs="Calibri"/>
          <w:noProof/>
        </w:rPr>
        <w:t>28.sep</w:t>
      </w:r>
      <w:r w:rsidR="00347602">
        <w:rPr>
          <w:rFonts w:ascii="Calibri" w:hAnsi="Calibri" w:cs="Calibri"/>
          <w:noProof/>
        </w:rPr>
        <w:t xml:space="preserve">tembra </w:t>
      </w:r>
      <w:r>
        <w:rPr>
          <w:rFonts w:ascii="Calibri" w:hAnsi="Calibri" w:cs="Calibri"/>
          <w:noProof/>
        </w:rPr>
        <w:t>2018.</w:t>
      </w:r>
      <w:r w:rsidR="00347602">
        <w:rPr>
          <w:rFonts w:ascii="Calibri" w:hAnsi="Calibri" w:cs="Calibri"/>
          <w:noProof/>
        </w:rPr>
        <w:t xml:space="preserve"> Izvrešen je otkup udjela u iznosu 307.333.</w:t>
      </w:r>
    </w:p>
    <w:p w:rsidR="004F20F1" w:rsidRDefault="004F20F1" w:rsidP="004F20F1">
      <w:pPr>
        <w:pStyle w:val="BodyTextIndent"/>
        <w:suppressAutoHyphens/>
        <w:ind w:left="0"/>
        <w:jc w:val="both"/>
        <w:rPr>
          <w:rFonts w:ascii="Calibri" w:hAnsi="Calibri" w:cs="Calibri"/>
          <w:noProof/>
        </w:rPr>
      </w:pPr>
      <w:r>
        <w:rPr>
          <w:rFonts w:ascii="Calibri" w:hAnsi="Calibri" w:cs="Calibri"/>
          <w:noProof/>
        </w:rPr>
        <w:t>Na dan 31. decembra 2018</w:t>
      </w:r>
      <w:r w:rsidRPr="00A47E7E">
        <w:rPr>
          <w:rFonts w:ascii="Calibri" w:hAnsi="Calibri" w:cs="Calibri"/>
          <w:noProof/>
        </w:rPr>
        <w:t xml:space="preserve">. godine </w:t>
      </w:r>
      <w:r>
        <w:rPr>
          <w:rFonts w:ascii="Calibri" w:hAnsi="Calibri" w:cs="Calibri"/>
          <w:noProof/>
        </w:rPr>
        <w:t xml:space="preserve">broj udjela </w:t>
      </w:r>
      <w:r w:rsidRPr="00A47E7E">
        <w:rPr>
          <w:rFonts w:ascii="Calibri" w:hAnsi="Calibri" w:cs="Calibri"/>
          <w:noProof/>
        </w:rPr>
        <w:t xml:space="preserve">iznosi </w:t>
      </w:r>
      <w:r>
        <w:rPr>
          <w:rFonts w:ascii="Calibri" w:hAnsi="Calibri" w:cs="Calibri"/>
          <w:noProof/>
        </w:rPr>
        <w:t>2.917.496</w:t>
      </w:r>
      <w:r w:rsidRPr="00A47E7E">
        <w:rPr>
          <w:rFonts w:ascii="Calibri" w:hAnsi="Calibri" w:cs="Calibri"/>
          <w:noProof/>
        </w:rPr>
        <w:t xml:space="preserve">. </w:t>
      </w:r>
    </w:p>
    <w:p w:rsidR="004F20F1" w:rsidRPr="00A47E7E" w:rsidRDefault="004F20F1" w:rsidP="009832DC">
      <w:pPr>
        <w:pStyle w:val="BodyTextIndent"/>
        <w:suppressAutoHyphens/>
        <w:ind w:left="0"/>
        <w:jc w:val="both"/>
        <w:rPr>
          <w:rFonts w:ascii="Calibri" w:hAnsi="Calibri" w:cs="Calibri"/>
          <w:noProof/>
        </w:rPr>
      </w:pP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2" w:name="_Toc506796525"/>
      <w:r w:rsidRPr="00A47E7E">
        <w:rPr>
          <w:rFonts w:ascii="Calibri" w:hAnsi="Calibri" w:cs="Calibri"/>
          <w:noProof/>
          <w:sz w:val="24"/>
          <w:szCs w:val="24"/>
        </w:rPr>
        <w:t>Revalorizacione rezerve po osnovu finansijskih sredstava raspoloživih za prodaju</w:t>
      </w:r>
      <w:bookmarkEnd w:id="32"/>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raspoloživih za prodaju na dan 31. decembra 201</w:t>
      </w:r>
      <w:r w:rsidR="00347602">
        <w:rPr>
          <w:rFonts w:ascii="Calibri" w:hAnsi="Calibri" w:cs="Calibri"/>
          <w:noProof/>
        </w:rPr>
        <w:t>8</w:t>
      </w:r>
      <w:r w:rsidRPr="00A47E7E">
        <w:rPr>
          <w:rFonts w:ascii="Calibri" w:hAnsi="Calibri" w:cs="Calibri"/>
          <w:noProof/>
        </w:rPr>
        <w:t xml:space="preserve">. godine iznose </w:t>
      </w:r>
      <w:r w:rsidR="00347602">
        <w:rPr>
          <w:rFonts w:ascii="Calibri" w:hAnsi="Calibri" w:cs="Calibri"/>
          <w:noProof/>
        </w:rPr>
        <w:t>2.547.276</w:t>
      </w:r>
      <w:r w:rsidR="000C483E" w:rsidRPr="00A47E7E">
        <w:rPr>
          <w:rFonts w:ascii="Calibri" w:hAnsi="Calibri" w:cs="Calibri"/>
          <w:noProof/>
        </w:rPr>
        <w:t xml:space="preserve"> Konvertibilnih maraka</w:t>
      </w:r>
      <w:r w:rsidRPr="00A47E7E">
        <w:rPr>
          <w:rFonts w:ascii="Calibri" w:hAnsi="Calibri" w:cs="Calibri"/>
          <w:noProof/>
        </w:rPr>
        <w:t xml:space="preserve">i predstavljaju akumulirane nerealizovane </w:t>
      </w:r>
      <w:r w:rsidR="009108A3">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3"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3"/>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vrijednosti kroz bilans uspjeha na dan 31. decembra 201</w:t>
      </w:r>
      <w:r w:rsidR="008C1452">
        <w:rPr>
          <w:rFonts w:ascii="Calibri" w:hAnsi="Calibri" w:cs="Calibri"/>
          <w:noProof/>
        </w:rPr>
        <w:t>8</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4" w:name="_Toc506796527"/>
      <w:r w:rsidRPr="00A47E7E">
        <w:rPr>
          <w:rFonts w:ascii="Calibri" w:hAnsi="Calibri" w:cs="Calibri"/>
          <w:noProof/>
          <w:sz w:val="24"/>
          <w:szCs w:val="24"/>
        </w:rPr>
        <w:t>ZARADA / (GUBITAK) PO UDJELU</w:t>
      </w:r>
      <w:bookmarkEnd w:id="34"/>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C73B36">
            <w:pPr>
              <w:jc w:val="center"/>
              <w:rPr>
                <w:rFonts w:ascii="Calibri" w:hAnsi="Calibri"/>
                <w:b/>
                <w:bCs/>
                <w:color w:val="000000"/>
              </w:rPr>
            </w:pPr>
            <w:r>
              <w:rPr>
                <w:rFonts w:ascii="Calibri" w:hAnsi="Calibri"/>
                <w:b/>
                <w:bCs/>
                <w:color w:val="000000"/>
              </w:rPr>
              <w:t>2018</w:t>
            </w:r>
          </w:p>
        </w:tc>
        <w:tc>
          <w:tcPr>
            <w:tcW w:w="1360" w:type="dxa"/>
            <w:tcBorders>
              <w:top w:val="nil"/>
              <w:left w:val="nil"/>
              <w:bottom w:val="nil"/>
              <w:right w:val="nil"/>
            </w:tcBorders>
            <w:shd w:val="clear" w:color="000000" w:fill="FFFFFF"/>
            <w:noWrap/>
            <w:vAlign w:val="bottom"/>
            <w:hideMark/>
          </w:tcPr>
          <w:p w:rsidR="00121128" w:rsidRPr="0042069D" w:rsidRDefault="00C73B36" w:rsidP="0042069D">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9108A3" w:rsidRPr="0042069D" w:rsidTr="0042069D">
        <w:trPr>
          <w:trHeight w:val="585"/>
        </w:trPr>
        <w:tc>
          <w:tcPr>
            <w:tcW w:w="5160" w:type="dxa"/>
            <w:tcBorders>
              <w:top w:val="nil"/>
              <w:left w:val="nil"/>
              <w:bottom w:val="nil"/>
              <w:right w:val="nil"/>
            </w:tcBorders>
            <w:shd w:val="clear" w:color="000000" w:fill="FFFFFF"/>
            <w:vAlign w:val="center"/>
            <w:hideMark/>
          </w:tcPr>
          <w:p w:rsidR="009108A3" w:rsidRPr="0042069D" w:rsidRDefault="009108A3"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9108A3" w:rsidRDefault="009108A3" w:rsidP="00C73B36">
            <w:pPr>
              <w:rPr>
                <w:rFonts w:ascii="Calibri" w:hAnsi="Calibri"/>
                <w:color w:val="000000"/>
              </w:rPr>
            </w:pPr>
            <w:r>
              <w:rPr>
                <w:rFonts w:ascii="Calibri" w:hAnsi="Calibri"/>
                <w:color w:val="000000"/>
              </w:rPr>
              <w:t xml:space="preserve">             </w:t>
            </w:r>
            <w:r w:rsidR="00C73B36">
              <w:rPr>
                <w:rFonts w:ascii="Calibri" w:hAnsi="Calibri"/>
                <w:color w:val="000000"/>
              </w:rPr>
              <w:t>176.734</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9108A3" w:rsidRPr="00C73B36" w:rsidRDefault="009108A3" w:rsidP="00C73B36">
            <w:pPr>
              <w:rPr>
                <w:rFonts w:ascii="Calibri" w:hAnsi="Calibri"/>
                <w:color w:val="000000"/>
                <w:highlight w:val="yellow"/>
              </w:rPr>
            </w:pPr>
            <w:r w:rsidRPr="00C73B36">
              <w:rPr>
                <w:rFonts w:ascii="Calibri" w:hAnsi="Calibri"/>
                <w:color w:val="000000"/>
                <w:highlight w:val="yellow"/>
              </w:rPr>
              <w:t xml:space="preserve">             </w:t>
            </w:r>
            <w:r w:rsidR="00C73B36" w:rsidRPr="004B2BF3">
              <w:rPr>
                <w:rFonts w:ascii="Calibri" w:hAnsi="Calibri"/>
                <w:color w:val="000000"/>
              </w:rPr>
              <w:t>327.046</w:t>
            </w:r>
            <w:r w:rsidRPr="004B2BF3">
              <w:rPr>
                <w:rFonts w:ascii="Calibri" w:hAnsi="Calibri"/>
                <w:color w:val="000000"/>
              </w:rPr>
              <w:t xml:space="preserve">    </w:t>
            </w:r>
          </w:p>
        </w:tc>
      </w:tr>
      <w:tr w:rsidR="009108A3" w:rsidRPr="0042069D" w:rsidTr="0042069D">
        <w:trPr>
          <w:trHeight w:val="310"/>
        </w:trPr>
        <w:tc>
          <w:tcPr>
            <w:tcW w:w="5160" w:type="dxa"/>
            <w:tcBorders>
              <w:top w:val="nil"/>
              <w:left w:val="nil"/>
              <w:bottom w:val="nil"/>
              <w:right w:val="nil"/>
            </w:tcBorders>
            <w:shd w:val="clear" w:color="000000" w:fill="FFFFFF"/>
            <w:vAlign w:val="center"/>
            <w:hideMark/>
          </w:tcPr>
          <w:p w:rsidR="009108A3" w:rsidRPr="0042069D" w:rsidRDefault="009108A3"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9108A3" w:rsidRDefault="009108A3" w:rsidP="00C73B36">
            <w:pPr>
              <w:rPr>
                <w:rFonts w:ascii="Calibri" w:hAnsi="Calibri"/>
                <w:color w:val="000000"/>
              </w:rPr>
            </w:pPr>
            <w:r>
              <w:rPr>
                <w:rFonts w:ascii="Calibri" w:hAnsi="Calibri"/>
                <w:color w:val="000000"/>
              </w:rPr>
              <w:t xml:space="preserve">          </w:t>
            </w:r>
            <w:r w:rsidR="00C73B36">
              <w:rPr>
                <w:rFonts w:ascii="Calibri" w:hAnsi="Calibri"/>
                <w:color w:val="000000"/>
              </w:rPr>
              <w:t>2.917.496</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9108A3" w:rsidRDefault="009108A3" w:rsidP="00C73B36">
            <w:pPr>
              <w:rPr>
                <w:rFonts w:ascii="Calibri" w:hAnsi="Calibri"/>
                <w:color w:val="000000"/>
              </w:rPr>
            </w:pPr>
            <w:r>
              <w:rPr>
                <w:rFonts w:ascii="Calibri" w:hAnsi="Calibri"/>
                <w:color w:val="000000"/>
              </w:rPr>
              <w:t xml:space="preserve">          3.224.829 </w:t>
            </w:r>
          </w:p>
        </w:tc>
      </w:tr>
      <w:tr w:rsidR="009108A3" w:rsidRPr="0042069D" w:rsidTr="0042069D">
        <w:trPr>
          <w:trHeight w:val="310"/>
        </w:trPr>
        <w:tc>
          <w:tcPr>
            <w:tcW w:w="5160" w:type="dxa"/>
            <w:tcBorders>
              <w:top w:val="nil"/>
              <w:left w:val="nil"/>
              <w:bottom w:val="nil"/>
              <w:right w:val="nil"/>
            </w:tcBorders>
            <w:shd w:val="clear" w:color="000000" w:fill="FFFFFF"/>
            <w:noWrap/>
            <w:vAlign w:val="bottom"/>
            <w:hideMark/>
          </w:tcPr>
          <w:p w:rsidR="009108A3" w:rsidRPr="0042069D" w:rsidRDefault="009108A3"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9108A3" w:rsidRDefault="009108A3">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9108A3" w:rsidRDefault="009108A3" w:rsidP="00320BEF">
            <w:pPr>
              <w:rPr>
                <w:rFonts w:ascii="Calibri" w:hAnsi="Calibri"/>
                <w:color w:val="000000"/>
              </w:rPr>
            </w:pPr>
            <w:r>
              <w:rPr>
                <w:rFonts w:ascii="Calibri" w:hAnsi="Calibri"/>
                <w:color w:val="000000"/>
              </w:rPr>
              <w:t> </w:t>
            </w:r>
          </w:p>
        </w:tc>
      </w:tr>
      <w:tr w:rsidR="009108A3" w:rsidRPr="0042069D" w:rsidTr="0042069D">
        <w:trPr>
          <w:trHeight w:val="370"/>
        </w:trPr>
        <w:tc>
          <w:tcPr>
            <w:tcW w:w="5160" w:type="dxa"/>
            <w:tcBorders>
              <w:top w:val="nil"/>
              <w:left w:val="nil"/>
              <w:bottom w:val="nil"/>
              <w:right w:val="nil"/>
            </w:tcBorders>
            <w:shd w:val="clear" w:color="000000" w:fill="FFFFFF"/>
            <w:noWrap/>
            <w:vAlign w:val="bottom"/>
            <w:hideMark/>
          </w:tcPr>
          <w:p w:rsidR="009108A3" w:rsidRPr="0042069D" w:rsidRDefault="009108A3"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108A3" w:rsidRDefault="004B2BF3" w:rsidP="00121128">
            <w:pPr>
              <w:rPr>
                <w:rFonts w:ascii="Calibri" w:hAnsi="Calibri"/>
                <w:b/>
                <w:bCs/>
                <w:color w:val="000000"/>
                <w:u w:val="single"/>
              </w:rPr>
            </w:pPr>
            <w:r>
              <w:rPr>
                <w:rFonts w:ascii="Calibri" w:hAnsi="Calibri"/>
                <w:b/>
                <w:bCs/>
                <w:color w:val="000000"/>
                <w:u w:val="single"/>
              </w:rPr>
              <w:t xml:space="preserve">                   0,0606</w:t>
            </w:r>
            <w:r w:rsidR="009108A3">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9108A3" w:rsidRDefault="004B2BF3" w:rsidP="00320BEF">
            <w:pPr>
              <w:rPr>
                <w:rFonts w:ascii="Calibri" w:hAnsi="Calibri"/>
                <w:b/>
                <w:bCs/>
                <w:color w:val="000000"/>
                <w:u w:val="single"/>
              </w:rPr>
            </w:pPr>
            <w:r>
              <w:rPr>
                <w:rFonts w:ascii="Calibri" w:hAnsi="Calibri"/>
                <w:b/>
                <w:bCs/>
                <w:color w:val="000000"/>
                <w:u w:val="single"/>
              </w:rPr>
              <w:t xml:space="preserve">                   0,1015</w:t>
            </w:r>
            <w:r w:rsidR="009108A3">
              <w:rPr>
                <w:rFonts w:ascii="Calibri" w:hAnsi="Calibri"/>
                <w:b/>
                <w:bCs/>
                <w:color w:val="000000"/>
                <w:u w:val="single"/>
              </w:rPr>
              <w:t xml:space="preserve">       </w:t>
            </w:r>
          </w:p>
        </w:tc>
      </w:tr>
      <w:tr w:rsidR="009108A3" w:rsidRPr="0042069D" w:rsidTr="0042069D">
        <w:trPr>
          <w:trHeight w:val="290"/>
        </w:trPr>
        <w:tc>
          <w:tcPr>
            <w:tcW w:w="5160" w:type="dxa"/>
            <w:tcBorders>
              <w:top w:val="nil"/>
              <w:left w:val="nil"/>
              <w:bottom w:val="nil"/>
              <w:right w:val="nil"/>
            </w:tcBorders>
            <w:shd w:val="clear" w:color="auto" w:fill="auto"/>
            <w:noWrap/>
            <w:vAlign w:val="bottom"/>
            <w:hideMark/>
          </w:tcPr>
          <w:p w:rsidR="009108A3" w:rsidRPr="0042069D" w:rsidRDefault="009108A3"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9108A3" w:rsidRDefault="009108A3">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9108A3" w:rsidRPr="0042069D" w:rsidRDefault="009108A3"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5" w:name="_Toc506796528"/>
      <w:r w:rsidRPr="00A47E7E">
        <w:rPr>
          <w:rFonts w:ascii="Calibri" w:hAnsi="Calibri" w:cs="Calibri"/>
          <w:noProof/>
          <w:sz w:val="24"/>
          <w:szCs w:val="24"/>
        </w:rPr>
        <w:t>TRANSAKCIJE SA POVEZANIM LICIMA</w:t>
      </w:r>
      <w:bookmarkEnd w:id="35"/>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316"/>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B2BF3" w:rsidP="00121128">
            <w:pPr>
              <w:rPr>
                <w:rFonts w:ascii="Calibri" w:hAnsi="Calibri"/>
                <w:b/>
                <w:bCs/>
                <w:color w:val="000000"/>
                <w:lang w:val="sr-Latn-BA" w:eastAsia="sr-Latn-BA"/>
              </w:rPr>
            </w:pPr>
            <w:r>
              <w:rPr>
                <w:rFonts w:ascii="Calibri" w:hAnsi="Calibri"/>
                <w:b/>
                <w:bCs/>
                <w:color w:val="000000"/>
                <w:lang w:val="sr-Latn-BA" w:eastAsia="sr-Latn-BA"/>
              </w:rPr>
              <w:t>2018</w:t>
            </w:r>
          </w:p>
        </w:tc>
        <w:tc>
          <w:tcPr>
            <w:tcW w:w="1264" w:type="dxa"/>
            <w:tcBorders>
              <w:top w:val="nil"/>
              <w:left w:val="nil"/>
              <w:bottom w:val="nil"/>
              <w:right w:val="nil"/>
            </w:tcBorders>
            <w:shd w:val="clear" w:color="000000" w:fill="FFFFFF"/>
            <w:noWrap/>
            <w:vAlign w:val="bottom"/>
            <w:hideMark/>
          </w:tcPr>
          <w:p w:rsidR="0042069D" w:rsidRPr="0042069D" w:rsidRDefault="004B2BF3" w:rsidP="00121128">
            <w:pPr>
              <w:rPr>
                <w:rFonts w:ascii="Calibri" w:hAnsi="Calibri"/>
                <w:b/>
                <w:bCs/>
                <w:color w:val="000000"/>
                <w:lang w:val="sr-Latn-BA" w:eastAsia="sr-Latn-BA"/>
              </w:rPr>
            </w:pPr>
            <w:r>
              <w:rPr>
                <w:rFonts w:ascii="Calibri" w:hAnsi="Calibri"/>
                <w:b/>
                <w:bCs/>
                <w:color w:val="000000"/>
                <w:lang w:val="sr-Latn-BA" w:eastAsia="sr-Latn-BA"/>
              </w:rPr>
              <w:t>2017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B2BF3" w:rsidRPr="0042069D" w:rsidTr="0042069D">
        <w:trPr>
          <w:trHeight w:val="360"/>
        </w:trPr>
        <w:tc>
          <w:tcPr>
            <w:tcW w:w="6264" w:type="dxa"/>
            <w:tcBorders>
              <w:top w:val="nil"/>
              <w:left w:val="nil"/>
              <w:bottom w:val="nil"/>
              <w:right w:val="nil"/>
            </w:tcBorders>
            <w:shd w:val="clear" w:color="000000" w:fill="FFFFFF"/>
            <w:vAlign w:val="center"/>
            <w:hideMark/>
          </w:tcPr>
          <w:p w:rsidR="004B2BF3" w:rsidRPr="0042069D" w:rsidRDefault="004B2BF3" w:rsidP="0042069D">
            <w:pPr>
              <w:rPr>
                <w:rFonts w:ascii="Calibri" w:hAnsi="Calibri"/>
                <w:color w:val="000000"/>
                <w:lang w:val="sr-Latn-BA" w:eastAsia="sr-Latn-BA"/>
              </w:rPr>
            </w:pPr>
            <w:r w:rsidRPr="0042069D">
              <w:rPr>
                <w:rFonts w:ascii="Calibri" w:hAnsi="Calibri"/>
                <w:color w:val="000000"/>
                <w:lang w:val="sr-Latn-BA" w:eastAsia="sr-Latn-BA"/>
              </w:rPr>
              <w:t>Rashodi od provizija za upravljanje Fondom- Kristal Invest ad Banja Luka</w:t>
            </w:r>
          </w:p>
        </w:tc>
        <w:tc>
          <w:tcPr>
            <w:tcW w:w="1896" w:type="dxa"/>
            <w:tcBorders>
              <w:top w:val="nil"/>
              <w:left w:val="nil"/>
              <w:bottom w:val="nil"/>
              <w:right w:val="nil"/>
            </w:tcBorders>
            <w:shd w:val="clear" w:color="000000" w:fill="FFFFFF"/>
            <w:noWrap/>
            <w:vAlign w:val="bottom"/>
            <w:hideMark/>
          </w:tcPr>
          <w:p w:rsidR="004B2BF3" w:rsidRPr="0042069D" w:rsidRDefault="004B2BF3" w:rsidP="004B2BF3">
            <w:pPr>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657.192,63</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B2BF3" w:rsidRPr="0042069D" w:rsidRDefault="004B2BF3" w:rsidP="00320BEF">
            <w:pPr>
              <w:rPr>
                <w:rFonts w:ascii="Calibri" w:hAnsi="Calibri"/>
                <w:color w:val="000000"/>
                <w:lang w:val="sr-Latn-BA" w:eastAsia="sr-Latn-BA"/>
              </w:rPr>
            </w:pPr>
            <w:r w:rsidRPr="0042069D">
              <w:rPr>
                <w:rFonts w:ascii="Calibri" w:hAnsi="Calibri"/>
                <w:color w:val="000000"/>
                <w:lang w:val="sr-Latn-BA" w:eastAsia="sr-Latn-BA"/>
              </w:rPr>
              <w:t xml:space="preserve">             204.288,87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B2BF3" w:rsidP="004B2BF3">
            <w:pPr>
              <w:jc w:val="center"/>
              <w:rPr>
                <w:rFonts w:ascii="Calibri" w:hAnsi="Calibri"/>
                <w:color w:val="000000"/>
                <w:lang w:val="sr-Latn-BA" w:eastAsia="sr-Latn-BA"/>
              </w:rPr>
            </w:pPr>
            <w:r>
              <w:rPr>
                <w:rFonts w:ascii="Calibri" w:hAnsi="Calibri"/>
                <w:color w:val="000000"/>
                <w:lang w:val="sr-Latn-BA" w:eastAsia="sr-Latn-BA"/>
              </w:rPr>
              <w:t>1.173</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42069D" w:rsidP="004B2BF3">
            <w:pPr>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8C1452" w:rsidP="008C1452">
            <w:pPr>
              <w:jc w:val="right"/>
              <w:rPr>
                <w:rFonts w:ascii="Calibri" w:hAnsi="Calibri"/>
                <w:color w:val="000000"/>
                <w:lang w:val="sr-Latn-BA" w:eastAsia="sr-Latn-BA"/>
              </w:rPr>
            </w:pPr>
            <w:r>
              <w:rPr>
                <w:rFonts w:ascii="Calibri" w:hAnsi="Calibri"/>
                <w:color w:val="000000"/>
                <w:lang w:val="sr-Latn-BA" w:eastAsia="sr-Latn-BA"/>
              </w:rPr>
              <w:t>-</w:t>
            </w:r>
            <w:r w:rsidR="004B2BF3" w:rsidRPr="0042069D">
              <w:rPr>
                <w:rFonts w:ascii="Calibri" w:hAnsi="Calibri"/>
                <w:color w:val="000000"/>
                <w:lang w:val="sr-Latn-BA" w:eastAsia="sr-Latn-BA"/>
              </w:rPr>
              <w:t xml:space="preserve">    </w:t>
            </w:r>
            <w:r w:rsidR="004B2BF3">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8C1452" w:rsidP="008C1452">
            <w:pPr>
              <w:jc w:val="right"/>
              <w:rPr>
                <w:rFonts w:ascii="Calibri" w:hAnsi="Calibri"/>
                <w:color w:val="000000"/>
                <w:lang w:val="sr-Latn-BA" w:eastAsia="sr-Latn-BA"/>
              </w:rPr>
            </w:pPr>
            <w:r>
              <w:rPr>
                <w:rFonts w:ascii="Calibri" w:hAnsi="Calibri"/>
                <w:color w:val="000000"/>
                <w:lang w:val="sr-Latn-BA" w:eastAsia="sr-Latn-BA"/>
              </w:rPr>
              <w:t xml:space="preserve">                  27.328,00</w:t>
            </w:r>
            <w:r w:rsidR="0042069D"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B2BF3">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4B2BF3">
              <w:rPr>
                <w:rFonts w:ascii="Calibri" w:hAnsi="Calibri"/>
                <w:b/>
                <w:bCs/>
                <w:color w:val="000000"/>
                <w:u w:val="single"/>
                <w:lang w:val="sr-Latn-BA" w:eastAsia="sr-Latn-BA"/>
              </w:rPr>
              <w:t>658.365,63</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B2BF3" w:rsidP="008C1452">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8C1452">
              <w:rPr>
                <w:rFonts w:ascii="Calibri" w:hAnsi="Calibri"/>
                <w:b/>
                <w:bCs/>
                <w:color w:val="000000"/>
                <w:u w:val="single"/>
                <w:lang w:val="sr-Latn-BA" w:eastAsia="sr-Latn-BA"/>
              </w:rPr>
              <w:t>231.616,87</w:t>
            </w:r>
            <w:r w:rsidR="0042069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B2BF3" w:rsidP="0042069D">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1264" w:type="dxa"/>
            <w:tcBorders>
              <w:top w:val="nil"/>
              <w:left w:val="nil"/>
              <w:bottom w:val="nil"/>
              <w:right w:val="nil"/>
            </w:tcBorders>
            <w:shd w:val="clear" w:color="000000" w:fill="FFFFFF"/>
            <w:noWrap/>
            <w:vAlign w:val="bottom"/>
            <w:hideMark/>
          </w:tcPr>
          <w:p w:rsidR="0042069D" w:rsidRPr="0042069D" w:rsidRDefault="004B2BF3" w:rsidP="0042069D">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B2BF3">
            <w:pPr>
              <w:rPr>
                <w:rFonts w:ascii="Calibri" w:hAnsi="Calibri"/>
                <w:color w:val="000000"/>
                <w:lang w:val="sr-Latn-BA" w:eastAsia="sr-Latn-BA"/>
              </w:rPr>
            </w:pPr>
            <w:r w:rsidRPr="0042069D">
              <w:rPr>
                <w:rFonts w:ascii="Calibri" w:hAnsi="Calibri"/>
                <w:color w:val="000000"/>
                <w:lang w:val="sr-Latn-BA" w:eastAsia="sr-Latn-BA"/>
              </w:rPr>
              <w:t xml:space="preserve">                </w:t>
            </w:r>
            <w:r w:rsidR="004B2BF3">
              <w:rPr>
                <w:rFonts w:ascii="Calibri" w:hAnsi="Calibri"/>
                <w:color w:val="000000"/>
                <w:lang w:val="sr-Latn-BA" w:eastAsia="sr-Latn-BA"/>
              </w:rPr>
              <w:t>51.869,91</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B2BF3" w:rsidP="0042069D">
            <w:pPr>
              <w:rPr>
                <w:rFonts w:ascii="Calibri" w:hAnsi="Calibri"/>
                <w:color w:val="000000"/>
                <w:lang w:val="sr-Latn-BA" w:eastAsia="sr-Latn-BA"/>
              </w:rPr>
            </w:pPr>
            <w:r w:rsidRPr="0042069D">
              <w:rPr>
                <w:rFonts w:ascii="Calibri" w:hAnsi="Calibri"/>
                <w:color w:val="000000"/>
                <w:lang w:val="sr-Latn-BA" w:eastAsia="sr-Latn-BA"/>
              </w:rPr>
              <w:t xml:space="preserve">60.783,26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lastRenderedPageBreak/>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B2BF3">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4B2BF3">
              <w:rPr>
                <w:rFonts w:ascii="Calibri" w:hAnsi="Calibri"/>
                <w:b/>
                <w:bCs/>
                <w:color w:val="000000"/>
                <w:u w:val="single"/>
                <w:lang w:val="sr-Latn-BA" w:eastAsia="sr-Latn-BA"/>
              </w:rPr>
              <w:t>51.869,91</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B2BF3"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60.783,26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6" w:name="_Toc506645336"/>
      <w:bookmarkStart w:id="37" w:name="_Toc506796529"/>
      <w:r w:rsidRPr="00A47E7E">
        <w:rPr>
          <w:rFonts w:ascii="Calibri" w:hAnsi="Calibri" w:cs="Calibri"/>
          <w:noProof/>
          <w:sz w:val="24"/>
          <w:szCs w:val="24"/>
        </w:rPr>
        <w:t>SUDSKI SPOROVI</w:t>
      </w:r>
      <w:bookmarkEnd w:id="36"/>
      <w:bookmarkEnd w:id="37"/>
      <w:r w:rsidR="00FF0721">
        <w:rPr>
          <w:rFonts w:ascii="Calibri" w:hAnsi="Calibri" w:cs="Calibri"/>
          <w:noProof/>
          <w:sz w:val="24"/>
          <w:szCs w:val="24"/>
        </w:rPr>
        <w:t xml:space="preserve"> I </w:t>
      </w:r>
      <w:r w:rsidR="00566CDE">
        <w:rPr>
          <w:rFonts w:ascii="Calibri" w:hAnsi="Calibri" w:cs="Calibri"/>
          <w:noProof/>
          <w:sz w:val="24"/>
          <w:szCs w:val="24"/>
        </w:rPr>
        <w:t xml:space="preserve">ZNAČAJNI </w:t>
      </w:r>
      <w:r w:rsidR="00FF0721">
        <w:rPr>
          <w:rFonts w:ascii="Calibri" w:hAnsi="Calibri" w:cs="Calibri"/>
          <w:noProof/>
          <w:sz w:val="24"/>
          <w:szCs w:val="24"/>
        </w:rPr>
        <w:t xml:space="preserve">DOGAĐAJI </w:t>
      </w:r>
    </w:p>
    <w:p w:rsidR="004035ED" w:rsidRPr="004035ED" w:rsidRDefault="004035ED" w:rsidP="004035ED">
      <w:pPr>
        <w:jc w:val="both"/>
        <w:rPr>
          <w:rFonts w:ascii="Calibri" w:hAnsi="Calibri"/>
          <w:highlight w:val="yellow"/>
          <w:lang w:val="sr-Latn-CS"/>
        </w:rPr>
      </w:pPr>
    </w:p>
    <w:p w:rsidR="00FF0721" w:rsidRPr="004035ED" w:rsidRDefault="004035ED" w:rsidP="004035ED">
      <w:pPr>
        <w:ind w:left="360"/>
        <w:jc w:val="both"/>
        <w:rPr>
          <w:rFonts w:ascii="Calibri" w:hAnsi="Calibri"/>
          <w:lang w:val="sr-Latn-CS"/>
        </w:rPr>
      </w:pPr>
      <w:r w:rsidRPr="004035ED">
        <w:rPr>
          <w:rFonts w:ascii="Calibri" w:hAnsi="Calibri"/>
          <w:lang w:val="sr-Latn-BA"/>
        </w:rPr>
        <w:t xml:space="preserve">Na dan 31.12.2018. god. </w:t>
      </w:r>
      <w:r w:rsidR="00FF0721" w:rsidRPr="004035ED">
        <w:rPr>
          <w:rFonts w:ascii="Calibri" w:hAnsi="Calibri"/>
          <w:lang w:val="sr-Cyrl-CS"/>
        </w:rPr>
        <w:t xml:space="preserve">protiv </w:t>
      </w:r>
      <w:r w:rsidR="00FF0721" w:rsidRPr="004035ED">
        <w:rPr>
          <w:rFonts w:ascii="Calibri" w:hAnsi="Calibri"/>
          <w:lang w:val="sr-Latn-CS"/>
        </w:rPr>
        <w:t>Otvorenog</w:t>
      </w:r>
      <w:r w:rsidR="00FF0721" w:rsidRPr="004035ED">
        <w:rPr>
          <w:rFonts w:ascii="Calibri" w:hAnsi="Calibri"/>
          <w:lang w:val="sr-Cyrl-CS"/>
        </w:rPr>
        <w:t xml:space="preserve"> </w:t>
      </w:r>
      <w:r w:rsidR="00FF0721" w:rsidRPr="004035ED">
        <w:rPr>
          <w:rFonts w:ascii="Calibri" w:hAnsi="Calibri"/>
          <w:lang w:val="sr-Latn-CS"/>
        </w:rPr>
        <w:t xml:space="preserve">akcijskog </w:t>
      </w:r>
      <w:r w:rsidR="00FF0721" w:rsidRPr="004035ED">
        <w:rPr>
          <w:rFonts w:ascii="Calibri" w:hAnsi="Calibri"/>
          <w:lang w:val="sr-Cyrl-CS"/>
        </w:rPr>
        <w:t xml:space="preserve">investicionog fonda </w:t>
      </w:r>
      <w:r w:rsidR="00FF0721" w:rsidRPr="004035ED">
        <w:rPr>
          <w:rFonts w:ascii="Calibri" w:hAnsi="Calibri"/>
          <w:lang w:val="sr-Latn-CS"/>
        </w:rPr>
        <w:t xml:space="preserve">„Opportunity fund“ </w:t>
      </w:r>
      <w:r w:rsidRPr="004035ED">
        <w:rPr>
          <w:rFonts w:ascii="Calibri" w:hAnsi="Calibri"/>
          <w:lang w:val="sr-Latn-CS"/>
        </w:rPr>
        <w:t xml:space="preserve">se </w:t>
      </w:r>
      <w:r w:rsidR="00FF0721" w:rsidRPr="004035ED">
        <w:rPr>
          <w:rFonts w:ascii="Calibri" w:hAnsi="Calibri"/>
          <w:lang w:val="sr-Cyrl-CS"/>
        </w:rPr>
        <w:t>ne vode sudski sporovi</w:t>
      </w:r>
      <w:r w:rsidR="00FF0721" w:rsidRPr="004035ED">
        <w:rPr>
          <w:rFonts w:ascii="Calibri" w:hAnsi="Calibri"/>
          <w:lang w:val="sr-Latn-CS"/>
        </w:rPr>
        <w:t>.</w:t>
      </w:r>
    </w:p>
    <w:p w:rsidR="00FF0721" w:rsidRPr="004035ED" w:rsidRDefault="00FF0721" w:rsidP="00FF0721">
      <w:pPr>
        <w:ind w:left="360"/>
        <w:jc w:val="both"/>
        <w:rPr>
          <w:rFonts w:ascii="Calibri" w:hAnsi="Calibri"/>
          <w:lang w:val="sr-Latn-CS"/>
        </w:rPr>
      </w:pPr>
      <w:r w:rsidRPr="004035ED">
        <w:rPr>
          <w:rFonts w:ascii="Calibri" w:hAnsi="Calibri"/>
          <w:lang w:val="sr-Cyrl-CS"/>
        </w:rPr>
        <w:t xml:space="preserve">Društvo za upravljanje investicionim fondovima  „Kristal invest“ a.d. Banja Luka, </w:t>
      </w:r>
      <w:r w:rsidRPr="004035ED">
        <w:rPr>
          <w:rFonts w:ascii="Calibri" w:hAnsi="Calibri"/>
          <w:lang w:val="sr-Latn-CS"/>
        </w:rPr>
        <w:t>je u postupku kod Privrednog suda u Banjoj Luci u ime i za račun Otvorenog</w:t>
      </w:r>
      <w:r w:rsidRPr="004035ED">
        <w:rPr>
          <w:rFonts w:ascii="Calibri" w:hAnsi="Calibri"/>
          <w:lang w:val="sr-Cyrl-CS"/>
        </w:rPr>
        <w:t xml:space="preserve"> </w:t>
      </w:r>
      <w:r w:rsidRPr="004035ED">
        <w:rPr>
          <w:rFonts w:ascii="Calibri" w:hAnsi="Calibri"/>
          <w:lang w:val="sr-Latn-CS"/>
        </w:rPr>
        <w:t xml:space="preserve">akcijskog </w:t>
      </w:r>
      <w:r w:rsidRPr="004035ED">
        <w:rPr>
          <w:rFonts w:ascii="Calibri" w:hAnsi="Calibri"/>
          <w:lang w:val="sr-Cyrl-CS"/>
        </w:rPr>
        <w:t xml:space="preserve">investicionog fonda </w:t>
      </w:r>
      <w:r w:rsidRPr="004035ED">
        <w:rPr>
          <w:rFonts w:ascii="Calibri" w:hAnsi="Calibri"/>
          <w:lang w:val="sr-Latn-CS"/>
        </w:rPr>
        <w:t xml:space="preserve">„Opportunity fund“ podnijelo tužbeni zahtjev protiv emitenta Aerodromi RS a.d. Banja Luka u postupku ostvarenja prava nesaglasnih akcionara. </w:t>
      </w:r>
    </w:p>
    <w:p w:rsidR="00FF0721" w:rsidRPr="004035ED" w:rsidRDefault="00FF0721" w:rsidP="004035ED">
      <w:pPr>
        <w:jc w:val="both"/>
        <w:rPr>
          <w:rFonts w:ascii="Calibri" w:hAnsi="Calibri"/>
          <w:highlight w:val="yellow"/>
          <w:lang w:val="sr-Latn-CS"/>
        </w:rPr>
      </w:pPr>
    </w:p>
    <w:p w:rsidR="00FF0721" w:rsidRPr="004035ED" w:rsidRDefault="004035ED" w:rsidP="004035ED">
      <w:pPr>
        <w:ind w:left="360"/>
        <w:jc w:val="both"/>
        <w:rPr>
          <w:rFonts w:ascii="Calibri" w:hAnsi="Calibri"/>
          <w:lang w:val="sr-Latn-CS"/>
        </w:rPr>
      </w:pPr>
      <w:r w:rsidRPr="004035ED">
        <w:rPr>
          <w:rFonts w:ascii="Calibri" w:hAnsi="Calibri"/>
          <w:lang w:val="sr-Latn-CS"/>
        </w:rPr>
        <w:t>N</w:t>
      </w:r>
      <w:r w:rsidR="00FF0721" w:rsidRPr="004035ED">
        <w:rPr>
          <w:rFonts w:ascii="Calibri" w:hAnsi="Calibri"/>
          <w:lang w:val="sr-Latn-CS"/>
        </w:rPr>
        <w:t>akon završetka poslovne 2018. godine nije bilo značajnijih poslovnih događaja koji bitno utiču na poslovanje Otvorenog</w:t>
      </w:r>
      <w:r w:rsidR="00FF0721" w:rsidRPr="004035ED">
        <w:rPr>
          <w:rFonts w:ascii="Calibri" w:hAnsi="Calibri"/>
          <w:lang w:val="sr-Cyrl-CS"/>
        </w:rPr>
        <w:t xml:space="preserve"> </w:t>
      </w:r>
      <w:r w:rsidR="00FF0721" w:rsidRPr="004035ED">
        <w:rPr>
          <w:rFonts w:ascii="Calibri" w:hAnsi="Calibri"/>
          <w:lang w:val="sr-Latn-CS"/>
        </w:rPr>
        <w:t xml:space="preserve">akcijskog </w:t>
      </w:r>
      <w:r w:rsidR="00FF0721" w:rsidRPr="004035ED">
        <w:rPr>
          <w:rFonts w:ascii="Calibri" w:hAnsi="Calibri"/>
          <w:lang w:val="sr-Cyrl-CS"/>
        </w:rPr>
        <w:t xml:space="preserve">investicionog fonda </w:t>
      </w:r>
      <w:r w:rsidR="00FF0721" w:rsidRPr="004035ED">
        <w:rPr>
          <w:rFonts w:ascii="Calibri" w:hAnsi="Calibri"/>
          <w:lang w:val="sr-Latn-CS"/>
        </w:rPr>
        <w:t>„Opportunity fund“.</w:t>
      </w:r>
    </w:p>
    <w:p w:rsidR="00566CDE" w:rsidRPr="00566CDE" w:rsidRDefault="00FF0721" w:rsidP="00566CD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highlight w:val="yellow"/>
        </w:rPr>
      </w:pPr>
      <w:r>
        <w:rPr>
          <w:rFonts w:ascii="Calibri" w:hAnsi="Calibri"/>
          <w:lang w:val="sr-Cyrl-CS"/>
        </w:rPr>
        <w:tab/>
      </w:r>
      <w:r>
        <w:rPr>
          <w:rFonts w:ascii="Calibri" w:hAnsi="Calibri"/>
          <w:lang w:val="sr-Cyrl-CS"/>
        </w:rPr>
        <w:tab/>
      </w:r>
      <w:r>
        <w:rPr>
          <w:rFonts w:ascii="Calibri" w:hAnsi="Calibri"/>
          <w:lang w:val="sr-Cyrl-CS"/>
        </w:rPr>
        <w:tab/>
      </w:r>
      <w:r>
        <w:rPr>
          <w:rFonts w:ascii="Calibri" w:hAnsi="Calibri"/>
          <w:lang w:val="sr-Cyrl-CS"/>
        </w:rPr>
        <w:tab/>
      </w:r>
    </w:p>
    <w:p w:rsidR="00273248" w:rsidRPr="004035ED" w:rsidRDefault="000C483E" w:rsidP="00273248">
      <w:pPr>
        <w:pStyle w:val="Heading1"/>
        <w:rPr>
          <w:rFonts w:ascii="Calibri" w:hAnsi="Calibri" w:cs="Calibri"/>
          <w:noProof/>
          <w:sz w:val="24"/>
          <w:szCs w:val="24"/>
        </w:rPr>
      </w:pPr>
      <w:bookmarkStart w:id="38" w:name="_Toc506645337"/>
      <w:bookmarkStart w:id="39" w:name="_Toc506796530"/>
      <w:r w:rsidRPr="00A47E7E">
        <w:rPr>
          <w:rFonts w:ascii="Calibri" w:hAnsi="Calibri" w:cs="Calibri"/>
          <w:noProof/>
          <w:sz w:val="24"/>
          <w:szCs w:val="24"/>
        </w:rPr>
        <w:t>TEKUĆA EKONOMSKA SITUACIJA I NJEN UTICAJ NA POSLOVANJE</w:t>
      </w:r>
      <w:bookmarkEnd w:id="38"/>
      <w:bookmarkEnd w:id="39"/>
    </w:p>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w:t>
      </w:r>
      <w:proofErr w:type="spellStart"/>
      <w:r w:rsidRPr="00A47E7E">
        <w:rPr>
          <w:rFonts w:ascii="Calibri" w:hAnsi="Calibri" w:cs="Calibri"/>
        </w:rPr>
        <w:t>Banja</w:t>
      </w:r>
      <w:proofErr w:type="spellEnd"/>
      <w:r w:rsidRPr="00A47E7E">
        <w:rPr>
          <w:rFonts w:ascii="Calibri" w:hAnsi="Calibri" w:cs="Calibri"/>
        </w:rPr>
        <w:t xml:space="preserve"> </w:t>
      </w:r>
      <w:r w:rsidR="004B2BF3">
        <w:rPr>
          <w:rFonts w:ascii="Calibri" w:hAnsi="Calibri" w:cs="Calibri"/>
        </w:rPr>
        <w:t xml:space="preserve">Luka, a </w:t>
      </w:r>
      <w:proofErr w:type="spellStart"/>
      <w:r w:rsidR="004B2BF3">
        <w:rPr>
          <w:rFonts w:ascii="Calibri" w:hAnsi="Calibri" w:cs="Calibri"/>
        </w:rPr>
        <w:t>samim</w:t>
      </w:r>
      <w:proofErr w:type="spellEnd"/>
      <w:r w:rsidR="004B2BF3">
        <w:rPr>
          <w:rFonts w:ascii="Calibri" w:hAnsi="Calibri" w:cs="Calibri"/>
        </w:rPr>
        <w:t xml:space="preserve"> </w:t>
      </w:r>
      <w:proofErr w:type="spellStart"/>
      <w:r w:rsidR="004B2BF3">
        <w:rPr>
          <w:rFonts w:ascii="Calibri" w:hAnsi="Calibri" w:cs="Calibri"/>
        </w:rPr>
        <w:t>tim</w:t>
      </w:r>
      <w:proofErr w:type="spellEnd"/>
      <w:r w:rsidR="004B2BF3">
        <w:rPr>
          <w:rFonts w:ascii="Calibri" w:hAnsi="Calibri" w:cs="Calibri"/>
        </w:rPr>
        <w:t xml:space="preserve"> </w:t>
      </w:r>
      <w:proofErr w:type="spellStart"/>
      <w:r w:rsidR="004B2BF3">
        <w:rPr>
          <w:rFonts w:ascii="Calibri" w:hAnsi="Calibri" w:cs="Calibri"/>
        </w:rPr>
        <w:t>i</w:t>
      </w:r>
      <w:proofErr w:type="spellEnd"/>
      <w:r w:rsidR="004B2BF3">
        <w:rPr>
          <w:rFonts w:ascii="Calibri" w:hAnsi="Calibri" w:cs="Calibri"/>
        </w:rPr>
        <w:t xml:space="preserve"> </w:t>
      </w:r>
      <w:proofErr w:type="spellStart"/>
      <w:r w:rsidR="004B2BF3">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201</w:t>
      </w:r>
      <w:r w:rsidR="00870C0F">
        <w:rPr>
          <w:rFonts w:ascii="Calibri" w:hAnsi="Calibri" w:cs="Calibri"/>
        </w:rPr>
        <w:t>9</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Fonda,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godinu</w:t>
      </w:r>
      <w:proofErr w:type="spellEnd"/>
      <w:r w:rsidRPr="00A47E7E">
        <w:rPr>
          <w:rFonts w:ascii="Calibri" w:hAnsi="Calibri" w:cs="Calibri"/>
        </w:rPr>
        <w:t xml:space="preserve"> </w:t>
      </w:r>
      <w:proofErr w:type="spellStart"/>
      <w:r w:rsidRPr="00A47E7E">
        <w:rPr>
          <w:rFonts w:ascii="Calibri" w:hAnsi="Calibri" w:cs="Calibri"/>
        </w:rPr>
        <w:t>koja</w:t>
      </w:r>
      <w:proofErr w:type="spellEnd"/>
      <w:r w:rsidRPr="00A47E7E">
        <w:rPr>
          <w:rFonts w:ascii="Calibri" w:hAnsi="Calibri" w:cs="Calibri"/>
        </w:rPr>
        <w:t xml:space="preserve"> se </w:t>
      </w:r>
      <w:proofErr w:type="spellStart"/>
      <w:r w:rsidRPr="00A47E7E">
        <w:rPr>
          <w:rFonts w:ascii="Calibri" w:hAnsi="Calibri" w:cs="Calibri"/>
        </w:rPr>
        <w:t>završava</w:t>
      </w:r>
      <w:proofErr w:type="spellEnd"/>
      <w:r w:rsidRPr="00A47E7E">
        <w:rPr>
          <w:rFonts w:ascii="Calibri" w:hAnsi="Calibri" w:cs="Calibri"/>
        </w:rPr>
        <w:t xml:space="preserve"> 31.</w:t>
      </w:r>
      <w:proofErr w:type="gramEnd"/>
      <w:r w:rsidRPr="00A47E7E">
        <w:rPr>
          <w:rFonts w:ascii="Calibri" w:hAnsi="Calibri" w:cs="Calibri"/>
        </w:rPr>
        <w:t xml:space="preserve"> </w:t>
      </w:r>
      <w:proofErr w:type="spellStart"/>
      <w:proofErr w:type="gramStart"/>
      <w:r w:rsidRPr="00A47E7E">
        <w:rPr>
          <w:rFonts w:ascii="Calibri" w:hAnsi="Calibri" w:cs="Calibri"/>
        </w:rPr>
        <w:t>decem</w:t>
      </w:r>
      <w:r w:rsidR="00870C0F">
        <w:rPr>
          <w:rFonts w:ascii="Calibri" w:hAnsi="Calibri" w:cs="Calibri"/>
        </w:rPr>
        <w:t>bra</w:t>
      </w:r>
      <w:proofErr w:type="spellEnd"/>
      <w:proofErr w:type="gramEnd"/>
      <w:r w:rsidR="00870C0F">
        <w:rPr>
          <w:rFonts w:ascii="Calibri" w:hAnsi="Calibri" w:cs="Calibri"/>
        </w:rPr>
        <w:t xml:space="preserve"> 2018</w:t>
      </w:r>
      <w:r w:rsidRPr="00A47E7E">
        <w:rPr>
          <w:rFonts w:ascii="Calibri" w:hAnsi="Calibri" w:cs="Calibri"/>
        </w:rPr>
        <w:t xml:space="preserve">.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273248" w:rsidRPr="00A47E7E" w:rsidRDefault="00273248" w:rsidP="00273248">
      <w:pPr>
        <w:jc w:val="both"/>
        <w:rPr>
          <w:rFonts w:ascii="Calibri" w:hAnsi="Calibri" w:cs="Calibri"/>
        </w:rPr>
      </w:pPr>
    </w:p>
    <w:p w:rsidR="000C483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4035ED" w:rsidRPr="00A47E7E" w:rsidRDefault="004035ED"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4035ED" w:rsidRDefault="000C483E" w:rsidP="004035ED">
      <w:pPr>
        <w:pStyle w:val="Heading1"/>
        <w:rPr>
          <w:rFonts w:ascii="Calibri" w:hAnsi="Calibri" w:cs="Calibri"/>
          <w:noProof/>
          <w:sz w:val="24"/>
          <w:szCs w:val="24"/>
        </w:rPr>
      </w:pPr>
      <w:bookmarkStart w:id="40" w:name="_Toc506645338"/>
      <w:bookmarkStart w:id="41" w:name="_Toc506796531"/>
      <w:r w:rsidRPr="00A47E7E">
        <w:rPr>
          <w:rFonts w:ascii="Calibri" w:hAnsi="Calibri" w:cs="Calibri"/>
          <w:noProof/>
          <w:sz w:val="24"/>
          <w:szCs w:val="24"/>
        </w:rPr>
        <w:lastRenderedPageBreak/>
        <w:t>DEVIZNI KURSEVI</w:t>
      </w:r>
      <w:bookmarkEnd w:id="40"/>
      <w:bookmarkEnd w:id="41"/>
    </w:p>
    <w:p w:rsidR="000C483E" w:rsidRPr="00A47E7E" w:rsidRDefault="000C483E" w:rsidP="000C483E">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 za pojedine glavne valute su bili sljedeći:</w:t>
      </w:r>
    </w:p>
    <w:p w:rsidR="00CE6D8A"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C46DC" w:rsidRDefault="008C46D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99732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noProof/>
          <w:sz w:val="22"/>
          <w:szCs w:val="22"/>
          <w:lang w:val="sr-Latn-BA" w:eastAsia="sr-Latn-BA"/>
        </w:rPr>
        <w:drawing>
          <wp:inline distT="0" distB="0" distL="0" distR="0">
            <wp:extent cx="5677535" cy="1354455"/>
            <wp:effectExtent l="19050" t="0" r="0" b="0"/>
            <wp:docPr id="1" name="Picture 3" descr="cid:image002.png@01D4BF9A.C4A40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4BF9A.C4A407A0"/>
                    <pic:cNvPicPr>
                      <a:picLocks noChangeAspect="1" noChangeArrowheads="1"/>
                    </pic:cNvPicPr>
                  </pic:nvPicPr>
                  <pic:blipFill>
                    <a:blip r:embed="rId8" r:link="rId9" cstate="print"/>
                    <a:srcRect/>
                    <a:stretch>
                      <a:fillRect/>
                    </a:stretch>
                  </pic:blipFill>
                  <pic:spPr bwMode="auto">
                    <a:xfrm>
                      <a:off x="0" y="0"/>
                      <a:ext cx="5677535" cy="1354455"/>
                    </a:xfrm>
                    <a:prstGeom prst="rect">
                      <a:avLst/>
                    </a:prstGeom>
                    <a:noFill/>
                    <a:ln w="9525">
                      <a:noFill/>
                      <a:miter lim="800000"/>
                      <a:headEnd/>
                      <a:tailEnd/>
                    </a:ln>
                  </pic:spPr>
                </pic:pic>
              </a:graphicData>
            </a:graphic>
          </wp:inline>
        </w:drawing>
      </w: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75FC7" w:rsidRDefault="00F75FC7"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A640F" w:rsidRDefault="00CA640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A640F" w:rsidRDefault="00CA640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A640F" w:rsidRDefault="00CA640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74C40" w:rsidRDefault="00874C40"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Default="0086742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6742A" w:rsidRPr="00532A52" w:rsidRDefault="00532A52" w:rsidP="0086742A">
      <w:pPr>
        <w:pStyle w:val="Heading1"/>
        <w:rPr>
          <w:rFonts w:ascii="Calibri" w:hAnsi="Calibri" w:cs="Calibri"/>
          <w:noProof/>
          <w:sz w:val="24"/>
          <w:szCs w:val="24"/>
        </w:rPr>
      </w:pPr>
      <w:r>
        <w:rPr>
          <w:rFonts w:ascii="Calibri" w:hAnsi="Calibri" w:cs="Calibri"/>
          <w:noProof/>
          <w:sz w:val="24"/>
          <w:szCs w:val="24"/>
        </w:rPr>
        <w:lastRenderedPageBreak/>
        <w:t xml:space="preserve">FINANSIJSKI INSTRUMENTI </w:t>
      </w:r>
    </w:p>
    <w:p w:rsidR="00C9585B" w:rsidRPr="00CE2847" w:rsidRDefault="00C9585B" w:rsidP="00C9585B">
      <w:pPr>
        <w:spacing w:before="200"/>
        <w:jc w:val="both"/>
        <w:rPr>
          <w:rFonts w:ascii="Calibri" w:hAnsi="Calibri"/>
          <w:b/>
          <w:szCs w:val="20"/>
          <w:lang w:val="sr-Latn-CS"/>
        </w:rPr>
      </w:pPr>
      <w:r>
        <w:rPr>
          <w:rFonts w:ascii="Calibri" w:hAnsi="Calibri"/>
          <w:b/>
          <w:szCs w:val="20"/>
          <w:lang w:val="sr-Latn-CS"/>
        </w:rPr>
        <w:t>Rizik promjene cijena finansijskog instrumenta</w:t>
      </w:r>
    </w:p>
    <w:p w:rsidR="00C9585B" w:rsidRPr="00CE2847" w:rsidRDefault="00C9585B" w:rsidP="00C9585B">
      <w:pPr>
        <w:spacing w:before="200"/>
        <w:jc w:val="both"/>
        <w:rPr>
          <w:rFonts w:ascii="Calibri" w:hAnsi="Calibri"/>
          <w:sz w:val="22"/>
          <w:szCs w:val="20"/>
          <w:lang w:val="sr-Latn-CS"/>
        </w:rPr>
      </w:pPr>
      <w:r>
        <w:rPr>
          <w:rFonts w:ascii="Calibri" w:hAnsi="Calibri"/>
          <w:sz w:val="22"/>
          <w:szCs w:val="20"/>
          <w:lang w:val="sr-Latn-CS"/>
        </w:rPr>
        <w:t>Rizik promjene cijena finansijskog instrumenta</w:t>
      </w:r>
      <w:r w:rsidRPr="00CE2847">
        <w:rPr>
          <w:rFonts w:ascii="Calibri" w:hAnsi="Calibri"/>
          <w:sz w:val="22"/>
          <w:szCs w:val="20"/>
          <w:lang w:val="sr-Latn-CS"/>
        </w:rPr>
        <w:t xml:space="preserve"> je rizik od mogućih promjena tržišnih cijena usljed kojih može doći do promjene vrijednosti finansijskih instrumenata koje Fond ima u svom portfelju. Fond je izložen značajnom riziku promjene cijena finansijskih instrumenata, s obzirom na to da fond ima značajno ulaganje u finanasijske instrumente  kojima se trguje na berzama hartija od vrijednosti. </w:t>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 xml:space="preserve">U narednoj tabeli prikazano je deset prvih pozicija po učešću u imovini </w:t>
      </w:r>
      <w:r>
        <w:rPr>
          <w:rFonts w:ascii="Calibri" w:hAnsi="Calibri"/>
          <w:sz w:val="22"/>
          <w:szCs w:val="20"/>
          <w:lang w:val="sr-Latn-CS"/>
        </w:rPr>
        <w:t>Opportunity</w:t>
      </w:r>
      <w:r w:rsidRPr="00CE2847">
        <w:rPr>
          <w:rFonts w:ascii="Calibri" w:hAnsi="Calibri"/>
          <w:sz w:val="22"/>
          <w:szCs w:val="20"/>
          <w:lang w:val="sr-Latn-CS"/>
        </w:rPr>
        <w:t xml:space="preserve"> fund na dan </w:t>
      </w:r>
      <w:r w:rsidRPr="00953F2E">
        <w:rPr>
          <w:rFonts w:ascii="Calibri" w:hAnsi="Calibri"/>
          <w:b/>
          <w:sz w:val="22"/>
          <w:szCs w:val="20"/>
          <w:lang w:val="sr-Latn-CS"/>
        </w:rPr>
        <w:t>31.12.2018.</w:t>
      </w:r>
      <w:r w:rsidRPr="00CE2847">
        <w:rPr>
          <w:rFonts w:ascii="Calibri" w:hAnsi="Calibri"/>
          <w:sz w:val="22"/>
          <w:szCs w:val="20"/>
          <w:lang w:val="sr-Latn-CS"/>
        </w:rPr>
        <w:t xml:space="preserve"> godine.</w:t>
      </w:r>
    </w:p>
    <w:p w:rsidR="00C9585B" w:rsidRDefault="00C9585B" w:rsidP="00C9585B">
      <w:pPr>
        <w:spacing w:before="200"/>
        <w:jc w:val="both"/>
        <w:rPr>
          <w:rFonts w:ascii="Calibri" w:hAnsi="Calibri"/>
          <w:sz w:val="22"/>
          <w:szCs w:val="20"/>
          <w:lang w:val="sr-Latn-CS"/>
        </w:rPr>
      </w:pPr>
      <w:r>
        <w:rPr>
          <w:noProof/>
          <w:lang w:val="sr-Latn-BA" w:eastAsia="sr-Latn-BA"/>
        </w:rPr>
        <w:drawing>
          <wp:inline distT="0" distB="0" distL="0" distR="0">
            <wp:extent cx="5208905" cy="2146935"/>
            <wp:effectExtent l="1905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08905" cy="2146935"/>
                    </a:xfrm>
                    <a:prstGeom prst="rect">
                      <a:avLst/>
                    </a:prstGeom>
                    <a:noFill/>
                    <a:ln w="9525">
                      <a:noFill/>
                      <a:miter lim="800000"/>
                      <a:headEnd/>
                      <a:tailEnd/>
                    </a:ln>
                  </pic:spPr>
                </pic:pic>
              </a:graphicData>
            </a:graphic>
          </wp:inline>
        </w:drawing>
      </w:r>
    </w:p>
    <w:p w:rsidR="00C9585B" w:rsidRDefault="00C9585B" w:rsidP="00C9585B">
      <w:pPr>
        <w:spacing w:before="200"/>
        <w:jc w:val="both"/>
        <w:rPr>
          <w:rFonts w:ascii="Calibri" w:hAnsi="Calibri"/>
          <w:sz w:val="22"/>
          <w:szCs w:val="20"/>
          <w:lang w:val="sr-Latn-CS"/>
        </w:rPr>
      </w:pPr>
      <w:r>
        <w:rPr>
          <w:rFonts w:ascii="Calibri" w:hAnsi="Calibri"/>
          <w:sz w:val="22"/>
          <w:szCs w:val="20"/>
          <w:lang w:val="sr-Latn-CS"/>
        </w:rPr>
        <w:t xml:space="preserve">Najveći uticaj na promjenu vrijednosti imovine Fonda ima cijena hartije od vrijednosti oznake HEDR-R-A. Promjena tržišne cijene predmetne hartije od vrijednosti za +/-1% uslovila bi promjenu vrijednosti ulaganja fonda u iznosu od oko +/-27.226 KM. </w:t>
      </w:r>
    </w:p>
    <w:p w:rsidR="00C9585B" w:rsidRPr="00C01918" w:rsidRDefault="00C9585B" w:rsidP="00C9585B">
      <w:pPr>
        <w:spacing w:before="200"/>
        <w:jc w:val="both"/>
        <w:rPr>
          <w:rFonts w:ascii="Calibri" w:hAnsi="Calibri"/>
          <w:sz w:val="22"/>
          <w:szCs w:val="20"/>
          <w:lang w:val="sr-Latn-CS"/>
        </w:rPr>
      </w:pPr>
      <w:r w:rsidRPr="00ED5177">
        <w:rPr>
          <w:rFonts w:ascii="Calibri" w:hAnsi="Calibri"/>
          <w:sz w:val="22"/>
          <w:szCs w:val="20"/>
          <w:lang w:val="sr-Latn-CS"/>
        </w:rPr>
        <w:t>Fond upravlja</w:t>
      </w:r>
      <w:r>
        <w:rPr>
          <w:rFonts w:ascii="Calibri" w:hAnsi="Calibri"/>
          <w:sz w:val="22"/>
          <w:szCs w:val="20"/>
          <w:lang w:val="sr-Latn-CS"/>
        </w:rPr>
        <w:t xml:space="preserve"> tržišnim (cjenovnim) rizikom</w:t>
      </w:r>
      <w:r w:rsidRPr="00ED5177">
        <w:rPr>
          <w:rFonts w:ascii="Calibri" w:hAnsi="Calibri"/>
          <w:sz w:val="22"/>
          <w:szCs w:val="20"/>
          <w:lang w:val="sr-Latn-CS"/>
        </w:rPr>
        <w:t xml:space="preserve"> diverzifikacijom svog investicionog portfelja</w:t>
      </w:r>
      <w:r w:rsidRPr="00ED5177">
        <w:rPr>
          <w:rFonts w:ascii="Calibri" w:hAnsi="Calibri"/>
          <w:i/>
          <w:sz w:val="22"/>
          <w:szCs w:val="20"/>
          <w:lang w:val="sr-Latn-CS"/>
        </w:rPr>
        <w:t xml:space="preserve">. </w:t>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 xml:space="preserve">U narednoj tabeli prikazano je deset prvih pozicija po učešću u imovini </w:t>
      </w:r>
      <w:r>
        <w:rPr>
          <w:rFonts w:ascii="Calibri" w:hAnsi="Calibri"/>
          <w:sz w:val="22"/>
          <w:szCs w:val="20"/>
          <w:lang w:val="sr-Latn-CS"/>
        </w:rPr>
        <w:t>Opportunity</w:t>
      </w:r>
      <w:r w:rsidRPr="00CE2847">
        <w:rPr>
          <w:rFonts w:ascii="Calibri" w:hAnsi="Calibri"/>
          <w:sz w:val="22"/>
          <w:szCs w:val="20"/>
          <w:lang w:val="sr-Latn-CS"/>
        </w:rPr>
        <w:t xml:space="preserve"> fund na dan </w:t>
      </w:r>
      <w:r w:rsidRPr="00953F2E">
        <w:rPr>
          <w:rFonts w:ascii="Calibri" w:hAnsi="Calibri"/>
          <w:b/>
          <w:sz w:val="22"/>
          <w:szCs w:val="20"/>
          <w:lang w:val="sr-Latn-CS"/>
        </w:rPr>
        <w:t>31.12.201</w:t>
      </w:r>
      <w:r>
        <w:rPr>
          <w:rFonts w:ascii="Calibri" w:hAnsi="Calibri"/>
          <w:b/>
          <w:sz w:val="22"/>
          <w:szCs w:val="20"/>
          <w:lang w:val="sr-Latn-CS"/>
        </w:rPr>
        <w:t>7</w:t>
      </w:r>
      <w:r w:rsidRPr="00953F2E">
        <w:rPr>
          <w:rFonts w:ascii="Calibri" w:hAnsi="Calibri"/>
          <w:b/>
          <w:sz w:val="22"/>
          <w:szCs w:val="20"/>
          <w:lang w:val="sr-Latn-CS"/>
        </w:rPr>
        <w:t>.</w:t>
      </w:r>
      <w:r w:rsidRPr="00CE2847">
        <w:rPr>
          <w:rFonts w:ascii="Calibri" w:hAnsi="Calibri"/>
          <w:sz w:val="22"/>
          <w:szCs w:val="20"/>
          <w:lang w:val="sr-Latn-CS"/>
        </w:rPr>
        <w:t xml:space="preserve"> godine.</w:t>
      </w:r>
    </w:p>
    <w:p w:rsidR="00F75FC7" w:rsidRDefault="00C9585B" w:rsidP="00F75FC7">
      <w:pPr>
        <w:spacing w:before="200"/>
        <w:rPr>
          <w:rFonts w:ascii="Calibri" w:hAnsi="Calibri"/>
          <w:sz w:val="22"/>
          <w:szCs w:val="20"/>
          <w:lang w:val="sr-Latn-CS"/>
        </w:rPr>
      </w:pPr>
      <w:r>
        <w:rPr>
          <w:noProof/>
          <w:lang w:val="sr-Latn-BA" w:eastAsia="sr-Latn-BA"/>
        </w:rPr>
        <w:drawing>
          <wp:inline distT="0" distB="0" distL="0" distR="0">
            <wp:extent cx="5272405" cy="2019935"/>
            <wp:effectExtent l="19050" t="0" r="4445"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272405" cy="2019935"/>
                    </a:xfrm>
                    <a:prstGeom prst="rect">
                      <a:avLst/>
                    </a:prstGeom>
                    <a:noFill/>
                    <a:ln w="9525">
                      <a:noFill/>
                      <a:miter lim="800000"/>
                      <a:headEnd/>
                      <a:tailEnd/>
                    </a:ln>
                  </pic:spPr>
                </pic:pic>
              </a:graphicData>
            </a:graphic>
          </wp:inline>
        </w:drawing>
      </w:r>
    </w:p>
    <w:p w:rsidR="00C9585B" w:rsidRDefault="00C9585B" w:rsidP="00F75FC7">
      <w:pPr>
        <w:spacing w:before="200"/>
        <w:rPr>
          <w:rFonts w:ascii="Calibri" w:hAnsi="Calibri"/>
          <w:sz w:val="22"/>
          <w:szCs w:val="20"/>
          <w:lang w:val="sr-Latn-CS"/>
        </w:rPr>
      </w:pPr>
      <w:r>
        <w:rPr>
          <w:rFonts w:ascii="Calibri" w:hAnsi="Calibri"/>
          <w:sz w:val="22"/>
          <w:szCs w:val="20"/>
          <w:lang w:val="sr-Latn-CS"/>
        </w:rPr>
        <w:lastRenderedPageBreak/>
        <w:t xml:space="preserve">Najveći uticaj na promjenu vrijednosti imovine Fonda imaju cijene hartija od vrijednosti oznake HEDR-R-A, HETR-R-A. Promjena tržišne cijene predmetnih hartija od vrijednosti za +/-1% uslovila bi promjenu vrijednosti ulaganja fonda u iznosu od oko +/-27.183 KM odnosno +/-19.957 KM. </w:t>
      </w:r>
    </w:p>
    <w:p w:rsidR="00C9585B" w:rsidRPr="00C01918" w:rsidRDefault="00C9585B" w:rsidP="00C9585B">
      <w:pPr>
        <w:spacing w:before="200"/>
        <w:jc w:val="both"/>
        <w:rPr>
          <w:rFonts w:ascii="Calibri" w:hAnsi="Calibri"/>
          <w:sz w:val="22"/>
          <w:szCs w:val="20"/>
          <w:lang w:val="sr-Latn-CS"/>
        </w:rPr>
      </w:pPr>
      <w:r w:rsidRPr="00ED5177">
        <w:rPr>
          <w:rFonts w:ascii="Calibri" w:hAnsi="Calibri"/>
          <w:sz w:val="22"/>
          <w:szCs w:val="20"/>
          <w:lang w:val="sr-Latn-CS"/>
        </w:rPr>
        <w:t>Fond upravlja</w:t>
      </w:r>
      <w:r>
        <w:rPr>
          <w:rFonts w:ascii="Calibri" w:hAnsi="Calibri"/>
          <w:sz w:val="22"/>
          <w:szCs w:val="20"/>
          <w:lang w:val="sr-Latn-CS"/>
        </w:rPr>
        <w:t xml:space="preserve"> tržišnim (cjenovnim) rizikom</w:t>
      </w:r>
      <w:r w:rsidRPr="00ED5177">
        <w:rPr>
          <w:rFonts w:ascii="Calibri" w:hAnsi="Calibri"/>
          <w:sz w:val="22"/>
          <w:szCs w:val="20"/>
          <w:lang w:val="sr-Latn-CS"/>
        </w:rPr>
        <w:t xml:space="preserve"> diverzifikacijom svog investicionog portfelja</w:t>
      </w:r>
      <w:r w:rsidRPr="00ED5177">
        <w:rPr>
          <w:rFonts w:ascii="Calibri" w:hAnsi="Calibri"/>
          <w:i/>
          <w:sz w:val="22"/>
          <w:szCs w:val="20"/>
          <w:lang w:val="sr-Latn-CS"/>
        </w:rPr>
        <w:t xml:space="preserve">. </w:t>
      </w:r>
    </w:p>
    <w:p w:rsidR="00C9585B" w:rsidRPr="00CE2847" w:rsidRDefault="00C9585B" w:rsidP="00C9585B">
      <w:pPr>
        <w:spacing w:before="200"/>
        <w:jc w:val="both"/>
        <w:rPr>
          <w:rFonts w:ascii="Calibri" w:hAnsi="Calibri"/>
          <w:b/>
          <w:szCs w:val="20"/>
          <w:lang w:val="sr-Latn-CS"/>
        </w:rPr>
      </w:pPr>
      <w:r w:rsidRPr="00CE2847">
        <w:rPr>
          <w:rFonts w:ascii="Calibri" w:hAnsi="Calibri"/>
          <w:b/>
          <w:szCs w:val="20"/>
          <w:lang w:val="sr-Latn-CS"/>
        </w:rPr>
        <w:t>Valutni rizik</w:t>
      </w:r>
    </w:p>
    <w:p w:rsidR="00C9585B"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Valutni rizik je rizik gubitka vrijednosti imovine Fonda zbog promjene vrijednosti jedne valute u odnosu na drugu. S obzirom na činjenicu da Fond dio svog poslovanja obavlja  na međunarodnim tržištima, prisutan je i rizik od promjene kurseva stranih valuta.  Službena valuta u Bosni i Hercegovini je konvertibilna marka (KM), a imovina Fonda iskazana u stranoj valuti preračunava se u KM primjenom važećeg kursa na dan bilansa. Kursne razlike utiču na prihode fonda, ali ne utiču na njegove novčane tokove. U narednoj tabeli prikazana je struktura imovine Fonda po pojedinoj valuti.</w:t>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 xml:space="preserve">Stanje na dan </w:t>
      </w:r>
      <w:r w:rsidRPr="00240988">
        <w:rPr>
          <w:rFonts w:ascii="Calibri" w:hAnsi="Calibri"/>
          <w:b/>
          <w:sz w:val="22"/>
          <w:szCs w:val="20"/>
          <w:lang w:val="sr-Latn-CS"/>
        </w:rPr>
        <w:t>31.12.2018</w:t>
      </w:r>
      <w:r w:rsidRPr="00CE2847">
        <w:rPr>
          <w:rFonts w:ascii="Calibri" w:hAnsi="Calibri"/>
          <w:sz w:val="22"/>
          <w:szCs w:val="20"/>
          <w:lang w:val="sr-Latn-CS"/>
        </w:rPr>
        <w:t>.godine:</w:t>
      </w:r>
      <w:r>
        <w:rPr>
          <w:rFonts w:ascii="Calibri" w:hAnsi="Calibri"/>
          <w:sz w:val="22"/>
          <w:szCs w:val="20"/>
          <w:lang w:val="sr-Latn-CS"/>
        </w:rPr>
        <w:t xml:space="preserve"> </w:t>
      </w:r>
    </w:p>
    <w:p w:rsidR="00C9585B" w:rsidRPr="00C42172" w:rsidRDefault="00C9585B" w:rsidP="00C9585B">
      <w:pPr>
        <w:spacing w:before="200"/>
        <w:jc w:val="both"/>
        <w:rPr>
          <w:rFonts w:ascii="Calibri" w:hAnsi="Calibri"/>
          <w:sz w:val="16"/>
          <w:szCs w:val="16"/>
          <w:lang w:val="sr-Latn-CS"/>
        </w:rPr>
      </w:pPr>
      <w:r>
        <w:rPr>
          <w:noProof/>
          <w:sz w:val="16"/>
          <w:szCs w:val="16"/>
          <w:lang w:val="sr-Latn-BA" w:eastAsia="sr-Latn-BA"/>
        </w:rPr>
        <w:drawing>
          <wp:inline distT="0" distB="0" distL="0" distR="0">
            <wp:extent cx="5640970" cy="3036171"/>
            <wp:effectExtent l="1905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641195" cy="3036292"/>
                    </a:xfrm>
                    <a:prstGeom prst="rect">
                      <a:avLst/>
                    </a:prstGeom>
                    <a:noFill/>
                    <a:ln w="9525">
                      <a:noFill/>
                      <a:miter lim="800000"/>
                      <a:headEnd/>
                      <a:tailEnd/>
                    </a:ln>
                  </pic:spPr>
                </pic:pic>
              </a:graphicData>
            </a:graphic>
          </wp:inline>
        </w:drawing>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Na dan 31.12.201</w:t>
      </w:r>
      <w:r>
        <w:rPr>
          <w:rFonts w:ascii="Calibri" w:hAnsi="Calibri"/>
          <w:sz w:val="22"/>
          <w:szCs w:val="20"/>
          <w:lang w:val="sr-Latn-CS"/>
        </w:rPr>
        <w:t>8</w:t>
      </w:r>
      <w:r w:rsidRPr="00CE2847">
        <w:rPr>
          <w:rFonts w:ascii="Calibri" w:hAnsi="Calibri"/>
          <w:sz w:val="22"/>
          <w:szCs w:val="20"/>
          <w:lang w:val="sr-Latn-CS"/>
        </w:rPr>
        <w:t xml:space="preserve">. godine u domaćoj valuti je iskazano </w:t>
      </w:r>
      <w:r>
        <w:rPr>
          <w:rFonts w:ascii="Calibri" w:hAnsi="Calibri"/>
          <w:sz w:val="22"/>
          <w:szCs w:val="20"/>
          <w:lang w:val="sr-Latn-CS"/>
        </w:rPr>
        <w:t>91.41</w:t>
      </w:r>
      <w:r w:rsidRPr="00CE2847">
        <w:rPr>
          <w:rFonts w:ascii="Calibri" w:hAnsi="Calibri"/>
          <w:sz w:val="22"/>
          <w:szCs w:val="20"/>
          <w:lang w:val="sr-Latn-CS"/>
        </w:rPr>
        <w:t xml:space="preserve">%  imovine Fonda, a u EUR-ima:  </w:t>
      </w:r>
      <w:r>
        <w:rPr>
          <w:rFonts w:ascii="Calibri" w:hAnsi="Calibri"/>
          <w:sz w:val="22"/>
          <w:szCs w:val="20"/>
          <w:lang w:val="sr-Latn-CS"/>
        </w:rPr>
        <w:t>3.06</w:t>
      </w:r>
      <w:r w:rsidRPr="00CE2847">
        <w:rPr>
          <w:rFonts w:ascii="Calibri" w:hAnsi="Calibri"/>
          <w:sz w:val="22"/>
          <w:szCs w:val="20"/>
          <w:lang w:val="sr-Latn-CS"/>
        </w:rPr>
        <w:t xml:space="preserve">%. Pošto je kurs KM vezan za EUR (1 EUR = 1.955830 KM ),  pa nema valutne izloženosti EUR-a prema KM,  to znači da </w:t>
      </w:r>
      <w:r>
        <w:rPr>
          <w:rFonts w:ascii="Calibri" w:hAnsi="Calibri"/>
          <w:sz w:val="22"/>
          <w:szCs w:val="20"/>
          <w:lang w:val="sr-Latn-CS"/>
        </w:rPr>
        <w:t>94.48</w:t>
      </w:r>
      <w:r w:rsidRPr="00CE2847">
        <w:rPr>
          <w:rFonts w:ascii="Calibri" w:hAnsi="Calibri"/>
          <w:sz w:val="22"/>
          <w:szCs w:val="20"/>
          <w:lang w:val="sr-Latn-CS"/>
        </w:rPr>
        <w:t>%  od ukupne imovine Fonda nije izloženo valutnom ri</w:t>
      </w:r>
      <w:r>
        <w:rPr>
          <w:rFonts w:ascii="Calibri" w:hAnsi="Calibri"/>
          <w:sz w:val="22"/>
          <w:szCs w:val="20"/>
          <w:lang w:val="sr-Latn-CS"/>
        </w:rPr>
        <w:t>ziku. Ostatak imovine, od  5.52</w:t>
      </w:r>
      <w:r w:rsidRPr="00CE2847">
        <w:rPr>
          <w:rFonts w:ascii="Calibri" w:hAnsi="Calibri"/>
          <w:sz w:val="22"/>
          <w:szCs w:val="20"/>
          <w:lang w:val="sr-Latn-CS"/>
        </w:rPr>
        <w:t xml:space="preserve"> %,  je iskazan u </w:t>
      </w:r>
      <w:r>
        <w:rPr>
          <w:rFonts w:ascii="Calibri" w:hAnsi="Calibri"/>
          <w:sz w:val="22"/>
          <w:szCs w:val="20"/>
          <w:lang w:val="sr-Latn-CS"/>
        </w:rPr>
        <w:t>valuti RSD</w:t>
      </w:r>
      <w:r w:rsidRPr="00CE2847">
        <w:rPr>
          <w:rFonts w:ascii="Calibri" w:hAnsi="Calibri"/>
          <w:sz w:val="22"/>
          <w:szCs w:val="20"/>
          <w:lang w:val="sr-Latn-CS"/>
        </w:rPr>
        <w:t xml:space="preserve">  i nalazi se </w:t>
      </w:r>
      <w:r>
        <w:rPr>
          <w:rFonts w:ascii="Calibri" w:hAnsi="Calibri"/>
          <w:sz w:val="22"/>
          <w:szCs w:val="20"/>
          <w:lang w:val="sr-Latn-CS"/>
        </w:rPr>
        <w:t>pod uticajem kretanja kursa ove valute</w:t>
      </w:r>
      <w:r w:rsidRPr="00CE2847">
        <w:rPr>
          <w:rFonts w:ascii="Calibri" w:hAnsi="Calibri"/>
          <w:sz w:val="22"/>
          <w:szCs w:val="20"/>
          <w:lang w:val="sr-Latn-CS"/>
        </w:rPr>
        <w:t xml:space="preserve"> prema KM.  Simulacija porasta vrijednosti KM od 10% prema ostalim valutama u kojima je iskazana imovina Fonda, pokazuje da bi ovaj rast uzrokovao smanjenje neto imovine fonda za oko </w:t>
      </w:r>
      <w:r>
        <w:rPr>
          <w:rFonts w:ascii="Calibri" w:hAnsi="Calibri"/>
          <w:sz w:val="22"/>
          <w:szCs w:val="20"/>
          <w:lang w:val="sr-Latn-CS"/>
        </w:rPr>
        <w:t>98.002</w:t>
      </w:r>
      <w:r w:rsidRPr="00CE2847">
        <w:rPr>
          <w:rFonts w:ascii="Calibri" w:hAnsi="Calibri"/>
          <w:sz w:val="22"/>
          <w:szCs w:val="20"/>
          <w:lang w:val="sr-Latn-CS"/>
        </w:rPr>
        <w:t xml:space="preserve"> KM i obratno. Pri tome bi uticaj ove promjene na imovinu iznosio oko </w:t>
      </w:r>
      <w:r>
        <w:rPr>
          <w:rFonts w:ascii="Calibri" w:hAnsi="Calibri"/>
          <w:sz w:val="22"/>
          <w:szCs w:val="20"/>
          <w:lang w:val="sr-Latn-CS"/>
        </w:rPr>
        <w:t>98.002</w:t>
      </w:r>
      <w:r w:rsidRPr="00CE2847">
        <w:rPr>
          <w:rFonts w:ascii="Calibri" w:hAnsi="Calibri"/>
          <w:sz w:val="22"/>
          <w:szCs w:val="20"/>
          <w:lang w:val="sr-Latn-CS"/>
        </w:rPr>
        <w:t xml:space="preserve"> KM</w:t>
      </w:r>
      <w:r>
        <w:rPr>
          <w:rFonts w:ascii="Calibri" w:hAnsi="Calibri"/>
          <w:sz w:val="22"/>
          <w:szCs w:val="20"/>
          <w:lang w:val="sr-Latn-CS"/>
        </w:rPr>
        <w:t>.</w:t>
      </w:r>
      <w:r w:rsidRPr="00CE2847">
        <w:rPr>
          <w:rFonts w:ascii="Calibri" w:hAnsi="Calibri"/>
          <w:sz w:val="22"/>
          <w:szCs w:val="20"/>
          <w:lang w:val="sr-Latn-CS"/>
        </w:rPr>
        <w:t xml:space="preserve"> </w:t>
      </w:r>
      <w:r>
        <w:rPr>
          <w:rFonts w:ascii="Calibri" w:hAnsi="Calibri"/>
          <w:sz w:val="22"/>
          <w:szCs w:val="20"/>
          <w:lang w:val="sr-Latn-CS"/>
        </w:rPr>
        <w:t>S obzirom da na 31.12.2018. fond nema imovine klasifikovane kroz bilans uspjeha ova promjena ne bi uticala</w:t>
      </w:r>
      <w:r w:rsidRPr="00CE2847">
        <w:rPr>
          <w:rFonts w:ascii="Calibri" w:hAnsi="Calibri"/>
          <w:sz w:val="22"/>
          <w:szCs w:val="20"/>
          <w:lang w:val="sr-Latn-CS"/>
        </w:rPr>
        <w:t xml:space="preserve"> na prihode Fonda.</w:t>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 xml:space="preserve">Stanje na dan </w:t>
      </w:r>
      <w:r w:rsidRPr="00240988">
        <w:rPr>
          <w:rFonts w:ascii="Calibri" w:hAnsi="Calibri"/>
          <w:b/>
          <w:sz w:val="22"/>
          <w:szCs w:val="20"/>
          <w:lang w:val="sr-Latn-CS"/>
        </w:rPr>
        <w:t>31.12.2017.</w:t>
      </w:r>
      <w:r w:rsidRPr="00CE2847">
        <w:rPr>
          <w:rFonts w:ascii="Calibri" w:hAnsi="Calibri"/>
          <w:sz w:val="22"/>
          <w:szCs w:val="20"/>
          <w:lang w:val="sr-Latn-CS"/>
        </w:rPr>
        <w:t>godine:</w:t>
      </w:r>
      <w:r>
        <w:rPr>
          <w:rFonts w:ascii="Calibri" w:hAnsi="Calibri"/>
          <w:sz w:val="22"/>
          <w:szCs w:val="20"/>
          <w:lang w:val="sr-Latn-CS"/>
        </w:rPr>
        <w:t xml:space="preserve"> </w:t>
      </w:r>
    </w:p>
    <w:p w:rsidR="00C9585B" w:rsidRPr="00CE2847" w:rsidRDefault="00C9585B" w:rsidP="00C9585B">
      <w:pPr>
        <w:spacing w:before="200"/>
        <w:jc w:val="both"/>
        <w:rPr>
          <w:rFonts w:ascii="Calibri" w:hAnsi="Calibri"/>
          <w:sz w:val="22"/>
          <w:szCs w:val="20"/>
          <w:lang w:val="sr-Latn-CS"/>
        </w:rPr>
      </w:pPr>
      <w:r>
        <w:rPr>
          <w:noProof/>
          <w:lang w:val="sr-Latn-BA" w:eastAsia="sr-Latn-BA"/>
        </w:rPr>
        <w:lastRenderedPageBreak/>
        <w:drawing>
          <wp:inline distT="0" distB="0" distL="0" distR="0">
            <wp:extent cx="5645133" cy="3049929"/>
            <wp:effectExtent l="1905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644981" cy="3049847"/>
                    </a:xfrm>
                    <a:prstGeom prst="rect">
                      <a:avLst/>
                    </a:prstGeom>
                    <a:noFill/>
                    <a:ln w="9525">
                      <a:noFill/>
                      <a:miter lim="800000"/>
                      <a:headEnd/>
                      <a:tailEnd/>
                    </a:ln>
                  </pic:spPr>
                </pic:pic>
              </a:graphicData>
            </a:graphic>
          </wp:inline>
        </w:drawing>
      </w:r>
    </w:p>
    <w:p w:rsidR="00C9585B" w:rsidRPr="00CE2847"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 xml:space="preserve">Na dan 31.12.2017. godine u domaćoj valuti je iskazano </w:t>
      </w:r>
      <w:r>
        <w:rPr>
          <w:rFonts w:ascii="Calibri" w:hAnsi="Calibri"/>
          <w:sz w:val="22"/>
          <w:szCs w:val="20"/>
          <w:lang w:val="sr-Latn-CS"/>
        </w:rPr>
        <w:t>92.10</w:t>
      </w:r>
      <w:r w:rsidRPr="00CE2847">
        <w:rPr>
          <w:rFonts w:ascii="Calibri" w:hAnsi="Calibri"/>
          <w:sz w:val="22"/>
          <w:szCs w:val="20"/>
          <w:lang w:val="sr-Latn-CS"/>
        </w:rPr>
        <w:t xml:space="preserve">  %  imovine Fonda, a u EUR-ima:  </w:t>
      </w:r>
      <w:r>
        <w:rPr>
          <w:rFonts w:ascii="Calibri" w:hAnsi="Calibri"/>
          <w:sz w:val="22"/>
          <w:szCs w:val="20"/>
          <w:lang w:val="sr-Latn-CS"/>
        </w:rPr>
        <w:t>2.74</w:t>
      </w:r>
      <w:r w:rsidRPr="00CE2847">
        <w:rPr>
          <w:rFonts w:ascii="Calibri" w:hAnsi="Calibri"/>
          <w:sz w:val="22"/>
          <w:szCs w:val="20"/>
          <w:lang w:val="sr-Latn-CS"/>
        </w:rPr>
        <w:t xml:space="preserve">%. Pošto je kurs KM vezan za EUR (1 EUR = 1.955830 KM ),  pa nema valutne izloženosti EUR-a prema KM,  to znači da </w:t>
      </w:r>
      <w:r>
        <w:rPr>
          <w:rFonts w:ascii="Calibri" w:hAnsi="Calibri"/>
          <w:sz w:val="22"/>
          <w:szCs w:val="20"/>
          <w:lang w:val="sr-Latn-CS"/>
        </w:rPr>
        <w:t>94.84</w:t>
      </w:r>
      <w:r w:rsidRPr="00CE2847">
        <w:rPr>
          <w:rFonts w:ascii="Calibri" w:hAnsi="Calibri"/>
          <w:sz w:val="22"/>
          <w:szCs w:val="20"/>
          <w:lang w:val="sr-Latn-CS"/>
        </w:rPr>
        <w:t>%  od ukupne imovine Fonda nije izloženo valutnom ri</w:t>
      </w:r>
      <w:r>
        <w:rPr>
          <w:rFonts w:ascii="Calibri" w:hAnsi="Calibri"/>
          <w:sz w:val="22"/>
          <w:szCs w:val="20"/>
          <w:lang w:val="sr-Latn-CS"/>
        </w:rPr>
        <w:t>ziku. Ostatak imovine, od  5.16</w:t>
      </w:r>
      <w:r w:rsidRPr="00CE2847">
        <w:rPr>
          <w:rFonts w:ascii="Calibri" w:hAnsi="Calibri"/>
          <w:sz w:val="22"/>
          <w:szCs w:val="20"/>
          <w:lang w:val="sr-Latn-CS"/>
        </w:rPr>
        <w:t xml:space="preserve"> %,  je iskazan u </w:t>
      </w:r>
      <w:r>
        <w:rPr>
          <w:rFonts w:ascii="Calibri" w:hAnsi="Calibri"/>
          <w:sz w:val="22"/>
          <w:szCs w:val="20"/>
          <w:lang w:val="sr-Latn-CS"/>
        </w:rPr>
        <w:t>valuti RSD</w:t>
      </w:r>
      <w:r w:rsidRPr="00CE2847">
        <w:rPr>
          <w:rFonts w:ascii="Calibri" w:hAnsi="Calibri"/>
          <w:sz w:val="22"/>
          <w:szCs w:val="20"/>
          <w:lang w:val="sr-Latn-CS"/>
        </w:rPr>
        <w:t xml:space="preserve">  i nalazi se </w:t>
      </w:r>
      <w:r>
        <w:rPr>
          <w:rFonts w:ascii="Calibri" w:hAnsi="Calibri"/>
          <w:sz w:val="22"/>
          <w:szCs w:val="20"/>
          <w:lang w:val="sr-Latn-CS"/>
        </w:rPr>
        <w:t>pod uticajem kretanja kursa ove valute</w:t>
      </w:r>
      <w:r w:rsidRPr="00CE2847">
        <w:rPr>
          <w:rFonts w:ascii="Calibri" w:hAnsi="Calibri"/>
          <w:sz w:val="22"/>
          <w:szCs w:val="20"/>
          <w:lang w:val="sr-Latn-CS"/>
        </w:rPr>
        <w:t xml:space="preserve"> prema KM.  Simulacija porasta vrijednosti KM od 10% prema ostalim valutama u kojima je iskazana imovina Fonda, pokazuje da bi ovaj rast uzrokovao smanjenje neto imovine fonda za oko </w:t>
      </w:r>
      <w:r>
        <w:rPr>
          <w:rFonts w:ascii="Calibri" w:hAnsi="Calibri"/>
          <w:sz w:val="22"/>
          <w:szCs w:val="20"/>
          <w:lang w:val="sr-Latn-CS"/>
        </w:rPr>
        <w:t>102.455</w:t>
      </w:r>
      <w:r w:rsidRPr="00CE2847">
        <w:rPr>
          <w:rFonts w:ascii="Calibri" w:hAnsi="Calibri"/>
          <w:sz w:val="22"/>
          <w:szCs w:val="20"/>
          <w:lang w:val="sr-Latn-CS"/>
        </w:rPr>
        <w:t xml:space="preserve"> KM i obratno. Pri tome bi uticaj ove promjene na imovinu iznosio oko </w:t>
      </w:r>
      <w:r>
        <w:rPr>
          <w:rFonts w:ascii="Calibri" w:hAnsi="Calibri"/>
          <w:sz w:val="22"/>
          <w:szCs w:val="20"/>
          <w:lang w:val="sr-Latn-CS"/>
        </w:rPr>
        <w:t>102.455</w:t>
      </w:r>
      <w:r w:rsidRPr="00CE2847">
        <w:rPr>
          <w:rFonts w:ascii="Calibri" w:hAnsi="Calibri"/>
          <w:sz w:val="22"/>
          <w:szCs w:val="20"/>
          <w:lang w:val="sr-Latn-CS"/>
        </w:rPr>
        <w:t xml:space="preserve"> KM</w:t>
      </w:r>
      <w:r>
        <w:rPr>
          <w:rFonts w:ascii="Calibri" w:hAnsi="Calibri"/>
          <w:sz w:val="22"/>
          <w:szCs w:val="20"/>
          <w:lang w:val="sr-Latn-CS"/>
        </w:rPr>
        <w:t>.</w:t>
      </w:r>
      <w:r w:rsidRPr="00CE2847">
        <w:rPr>
          <w:rFonts w:ascii="Calibri" w:hAnsi="Calibri"/>
          <w:sz w:val="22"/>
          <w:szCs w:val="20"/>
          <w:lang w:val="sr-Latn-CS"/>
        </w:rPr>
        <w:t xml:space="preserve"> </w:t>
      </w:r>
      <w:r>
        <w:rPr>
          <w:rFonts w:ascii="Calibri" w:hAnsi="Calibri"/>
          <w:sz w:val="22"/>
          <w:szCs w:val="20"/>
          <w:lang w:val="sr-Latn-CS"/>
        </w:rPr>
        <w:t>S obzirom da na 31.12.2017. fond nema imovine klasifikovane kroz bilans uspjeha ova promjena ne bi uticala</w:t>
      </w:r>
      <w:r w:rsidRPr="00CE2847">
        <w:rPr>
          <w:rFonts w:ascii="Calibri" w:hAnsi="Calibri"/>
          <w:sz w:val="22"/>
          <w:szCs w:val="20"/>
          <w:lang w:val="sr-Latn-CS"/>
        </w:rPr>
        <w:t xml:space="preserve"> na prihode Fonda.</w:t>
      </w:r>
    </w:p>
    <w:p w:rsidR="00C9585B" w:rsidRPr="00CE2847" w:rsidRDefault="00C9585B" w:rsidP="00C9585B">
      <w:pPr>
        <w:spacing w:before="200"/>
        <w:jc w:val="both"/>
        <w:rPr>
          <w:rFonts w:ascii="Calibri" w:hAnsi="Calibri"/>
          <w:b/>
          <w:szCs w:val="20"/>
          <w:lang w:val="sr-Latn-CS"/>
        </w:rPr>
      </w:pPr>
      <w:r w:rsidRPr="00CE2847">
        <w:rPr>
          <w:rFonts w:ascii="Calibri" w:hAnsi="Calibri"/>
          <w:b/>
          <w:szCs w:val="20"/>
          <w:lang w:val="sr-Latn-CS"/>
        </w:rPr>
        <w:t xml:space="preserve">Kamatni rizik </w:t>
      </w:r>
    </w:p>
    <w:p w:rsidR="00C9585B"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Imovina Fonda investirana je u vlasničke i dužničke hartije od vrijednosti i depozite kod banaka sa roko</w:t>
      </w:r>
      <w:r>
        <w:rPr>
          <w:rFonts w:ascii="Calibri" w:hAnsi="Calibri"/>
          <w:sz w:val="22"/>
          <w:szCs w:val="20"/>
          <w:lang w:val="sr-Latn-CS"/>
        </w:rPr>
        <w:t>m</w:t>
      </w:r>
      <w:r w:rsidRPr="00CE2847">
        <w:rPr>
          <w:rFonts w:ascii="Calibri" w:hAnsi="Calibri"/>
          <w:sz w:val="22"/>
          <w:szCs w:val="20"/>
          <w:lang w:val="sr-Latn-CS"/>
        </w:rPr>
        <w:t xml:space="preserve"> dospijeća </w:t>
      </w:r>
      <w:r>
        <w:rPr>
          <w:rFonts w:ascii="Calibri" w:hAnsi="Calibri"/>
          <w:sz w:val="22"/>
          <w:szCs w:val="20"/>
          <w:lang w:val="sr-Latn-CS"/>
        </w:rPr>
        <w:t>do 24</w:t>
      </w:r>
      <w:r w:rsidRPr="00CE2847">
        <w:rPr>
          <w:rFonts w:ascii="Calibri" w:hAnsi="Calibri"/>
          <w:sz w:val="22"/>
          <w:szCs w:val="20"/>
          <w:lang w:val="sr-Latn-CS"/>
        </w:rPr>
        <w:t xml:space="preserve"> mjesec</w:t>
      </w:r>
      <w:r>
        <w:rPr>
          <w:rFonts w:ascii="Calibri" w:hAnsi="Calibri"/>
          <w:sz w:val="22"/>
          <w:szCs w:val="20"/>
          <w:lang w:val="sr-Latn-CS"/>
        </w:rPr>
        <w:t>a</w:t>
      </w:r>
      <w:r w:rsidRPr="00CE2847">
        <w:rPr>
          <w:rFonts w:ascii="Calibri" w:hAnsi="Calibri"/>
          <w:sz w:val="22"/>
          <w:szCs w:val="20"/>
          <w:lang w:val="sr-Latn-CS"/>
        </w:rPr>
        <w:t xml:space="preserve">. Iako najveći dio imovine nije kamatno osjetljiv, portfelj Fonda sadrži i instrumente zavisne od kretanja tržišnih kamatnih stopa. Ova imovina obuhvata dužničke hartije od vrijednosti i finansijske plasmane. U pogledu upravljanja ovim rizikom, ugovarali su se rokovi dospijeća oročenih depozita koji se podudaraju sa procjenom roka u kojem ova sredstva neće biti korištena za kupovinu hartija od vrijednosti. U narednoj tabeli su prikazani podaci o imovini i obavezama Fonda, iskazani po fer vrijednosti i ravrstani prema ugovornoj promjeni cijene ili datumu dospijeća, prema tome šta je ranije.  </w:t>
      </w:r>
    </w:p>
    <w:p w:rsidR="00C9585B" w:rsidRDefault="00C9585B" w:rsidP="00C9585B">
      <w:pPr>
        <w:spacing w:before="200"/>
        <w:jc w:val="both"/>
        <w:rPr>
          <w:rFonts w:ascii="Calibri" w:hAnsi="Calibri"/>
          <w:b/>
          <w:sz w:val="22"/>
          <w:szCs w:val="20"/>
          <w:lang w:val="sr-Latn-CS"/>
        </w:rPr>
      </w:pPr>
      <w:r>
        <w:rPr>
          <w:rFonts w:ascii="Calibri" w:hAnsi="Calibri"/>
          <w:sz w:val="22"/>
          <w:szCs w:val="20"/>
          <w:lang w:val="sr-Latn-CS"/>
        </w:rPr>
        <w:t xml:space="preserve">Stanje na dan </w:t>
      </w:r>
      <w:r w:rsidRPr="00240988">
        <w:rPr>
          <w:rFonts w:ascii="Calibri" w:hAnsi="Calibri"/>
          <w:b/>
          <w:sz w:val="22"/>
          <w:szCs w:val="20"/>
          <w:lang w:val="sr-Latn-CS"/>
        </w:rPr>
        <w:t>31.12.201</w:t>
      </w:r>
      <w:r>
        <w:rPr>
          <w:rFonts w:ascii="Calibri" w:hAnsi="Calibri"/>
          <w:b/>
          <w:sz w:val="22"/>
          <w:szCs w:val="20"/>
          <w:lang w:val="sr-Latn-CS"/>
        </w:rPr>
        <w:t>8.</w:t>
      </w:r>
    </w:p>
    <w:p w:rsidR="00C9585B" w:rsidRDefault="00C9585B" w:rsidP="00C9585B">
      <w:pPr>
        <w:spacing w:before="200"/>
        <w:jc w:val="both"/>
      </w:pPr>
      <w:r>
        <w:rPr>
          <w:noProof/>
          <w:lang w:val="sr-Latn-BA" w:eastAsia="sr-Latn-BA"/>
        </w:rPr>
        <w:lastRenderedPageBreak/>
        <w:drawing>
          <wp:inline distT="0" distB="0" distL="0" distR="0">
            <wp:extent cx="5664119" cy="2867177"/>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664444" cy="2867341"/>
                    </a:xfrm>
                    <a:prstGeom prst="rect">
                      <a:avLst/>
                    </a:prstGeom>
                    <a:noFill/>
                    <a:ln w="9525">
                      <a:noFill/>
                      <a:miter lim="800000"/>
                      <a:headEnd/>
                      <a:tailEnd/>
                    </a:ln>
                  </pic:spPr>
                </pic:pic>
              </a:graphicData>
            </a:graphic>
          </wp:inline>
        </w:drawing>
      </w:r>
    </w:p>
    <w:p w:rsidR="00C9585B" w:rsidRDefault="00C9585B" w:rsidP="00C9585B">
      <w:pPr>
        <w:spacing w:before="200"/>
        <w:jc w:val="both"/>
        <w:rPr>
          <w:rFonts w:ascii="Calibri" w:hAnsi="Calibri"/>
          <w:sz w:val="22"/>
          <w:szCs w:val="20"/>
          <w:lang w:val="sr-Latn-CS"/>
        </w:rPr>
      </w:pPr>
      <w:r w:rsidRPr="00240988">
        <w:rPr>
          <w:rFonts w:ascii="Calibri" w:hAnsi="Calibri"/>
          <w:sz w:val="22"/>
          <w:szCs w:val="20"/>
          <w:lang w:val="sr-Latn-CS"/>
        </w:rPr>
        <w:t>Pretpostavljeni scenario viših/nižih kamatnih stopa na imovinu pod rizikom na dan 31.12.201</w:t>
      </w:r>
      <w:r>
        <w:rPr>
          <w:rFonts w:ascii="Calibri" w:hAnsi="Calibri"/>
          <w:sz w:val="22"/>
          <w:szCs w:val="20"/>
          <w:lang w:val="sr-Latn-CS"/>
        </w:rPr>
        <w:t>8</w:t>
      </w:r>
      <w:r w:rsidRPr="00240988">
        <w:rPr>
          <w:rFonts w:ascii="Calibri" w:hAnsi="Calibri"/>
          <w:sz w:val="22"/>
          <w:szCs w:val="20"/>
          <w:lang w:val="sr-Latn-CS"/>
        </w:rPr>
        <w:t xml:space="preserve">. godine, za 0.1 procentni poen na godišnjem nivou u odnosu na važeće kamatne stope na dan bilansa i uz ostale nepromijenjene varijable, uticao bi na povećanje/smanjenje neto dobitka Fonda za iznos od  </w:t>
      </w:r>
      <w:r>
        <w:rPr>
          <w:rFonts w:ascii="Calibri" w:hAnsi="Calibri"/>
          <w:sz w:val="22"/>
          <w:szCs w:val="20"/>
          <w:lang w:val="sr-Latn-CS"/>
        </w:rPr>
        <w:t>281</w:t>
      </w:r>
      <w:r w:rsidRPr="00240988">
        <w:rPr>
          <w:rFonts w:ascii="Calibri" w:hAnsi="Calibri"/>
          <w:sz w:val="22"/>
          <w:szCs w:val="20"/>
          <w:lang w:val="sr-Latn-CS"/>
        </w:rPr>
        <w:t xml:space="preserve"> KM.</w:t>
      </w:r>
    </w:p>
    <w:p w:rsidR="00C9585B" w:rsidRPr="00CE2847" w:rsidRDefault="00C9585B" w:rsidP="00C9585B">
      <w:pPr>
        <w:spacing w:before="200"/>
        <w:jc w:val="both"/>
        <w:rPr>
          <w:rFonts w:ascii="Calibri" w:hAnsi="Calibri"/>
          <w:sz w:val="22"/>
          <w:szCs w:val="20"/>
          <w:lang w:val="sr-Latn-CS"/>
        </w:rPr>
      </w:pPr>
      <w:r>
        <w:rPr>
          <w:rFonts w:ascii="Calibri" w:hAnsi="Calibri"/>
          <w:sz w:val="22"/>
          <w:szCs w:val="20"/>
          <w:lang w:val="sr-Latn-CS"/>
        </w:rPr>
        <w:t xml:space="preserve">Stanje na dan </w:t>
      </w:r>
      <w:r w:rsidRPr="00240988">
        <w:rPr>
          <w:rFonts w:ascii="Calibri" w:hAnsi="Calibri"/>
          <w:b/>
          <w:sz w:val="22"/>
          <w:szCs w:val="20"/>
          <w:lang w:val="sr-Latn-CS"/>
        </w:rPr>
        <w:t>31.12.2017</w:t>
      </w:r>
      <w:r>
        <w:rPr>
          <w:rFonts w:ascii="Calibri" w:hAnsi="Calibri"/>
          <w:b/>
          <w:sz w:val="22"/>
          <w:szCs w:val="20"/>
          <w:lang w:val="sr-Latn-CS"/>
        </w:rPr>
        <w:t>.</w:t>
      </w:r>
    </w:p>
    <w:p w:rsidR="00C9585B" w:rsidRPr="00CE2847" w:rsidRDefault="00C9585B" w:rsidP="00C9585B">
      <w:pPr>
        <w:spacing w:before="200"/>
        <w:jc w:val="both"/>
        <w:rPr>
          <w:rFonts w:ascii="Calibri" w:hAnsi="Calibri"/>
          <w:sz w:val="22"/>
          <w:szCs w:val="20"/>
          <w:lang w:val="sr-Latn-CS"/>
        </w:rPr>
      </w:pPr>
      <w:r>
        <w:rPr>
          <w:noProof/>
          <w:lang w:val="sr-Latn-BA" w:eastAsia="sr-Latn-BA"/>
        </w:rPr>
        <w:drawing>
          <wp:inline distT="0" distB="0" distL="0" distR="0">
            <wp:extent cx="5698843" cy="1028488"/>
            <wp:effectExtent l="1905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5700009" cy="1028698"/>
                    </a:xfrm>
                    <a:prstGeom prst="rect">
                      <a:avLst/>
                    </a:prstGeom>
                    <a:noFill/>
                    <a:ln w="9525">
                      <a:noFill/>
                      <a:miter lim="800000"/>
                      <a:headEnd/>
                      <a:tailEnd/>
                    </a:ln>
                  </pic:spPr>
                </pic:pic>
              </a:graphicData>
            </a:graphic>
          </wp:inline>
        </w:drawing>
      </w:r>
    </w:p>
    <w:p w:rsidR="00C9585B" w:rsidRPr="00CE2847" w:rsidRDefault="00C9585B" w:rsidP="00C9585B">
      <w:pPr>
        <w:spacing w:before="200"/>
        <w:jc w:val="both"/>
        <w:rPr>
          <w:rFonts w:ascii="Calibri" w:hAnsi="Calibri"/>
          <w:sz w:val="22"/>
          <w:szCs w:val="20"/>
          <w:lang w:val="sr-Latn-CS"/>
        </w:rPr>
      </w:pPr>
    </w:p>
    <w:p w:rsidR="00C9585B" w:rsidRPr="00CE2847" w:rsidRDefault="00C9585B" w:rsidP="00C9585B">
      <w:pPr>
        <w:spacing w:before="200"/>
        <w:jc w:val="both"/>
        <w:rPr>
          <w:rFonts w:ascii="Calibri" w:hAnsi="Calibri"/>
          <w:sz w:val="22"/>
          <w:szCs w:val="20"/>
          <w:lang w:val="sr-Latn-CS"/>
        </w:rPr>
      </w:pPr>
      <w:r>
        <w:rPr>
          <w:noProof/>
          <w:lang w:val="sr-Latn-BA" w:eastAsia="sr-Latn-BA"/>
        </w:rPr>
        <w:drawing>
          <wp:inline distT="0" distB="0" distL="0" distR="0">
            <wp:extent cx="5721993" cy="2147092"/>
            <wp:effectExtent l="1905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727908" cy="2149312"/>
                    </a:xfrm>
                    <a:prstGeom prst="rect">
                      <a:avLst/>
                    </a:prstGeom>
                    <a:noFill/>
                    <a:ln w="9525">
                      <a:noFill/>
                      <a:miter lim="800000"/>
                      <a:headEnd/>
                      <a:tailEnd/>
                    </a:ln>
                  </pic:spPr>
                </pic:pic>
              </a:graphicData>
            </a:graphic>
          </wp:inline>
        </w:drawing>
      </w:r>
    </w:p>
    <w:p w:rsidR="00C9585B" w:rsidRPr="00240988" w:rsidRDefault="00C9585B" w:rsidP="00C9585B">
      <w:pPr>
        <w:spacing w:before="200"/>
        <w:jc w:val="both"/>
        <w:rPr>
          <w:rFonts w:ascii="Calibri" w:hAnsi="Calibri"/>
          <w:sz w:val="22"/>
          <w:szCs w:val="20"/>
          <w:lang w:val="sr-Latn-CS"/>
        </w:rPr>
      </w:pPr>
      <w:r w:rsidRPr="00CE2847">
        <w:rPr>
          <w:rFonts w:ascii="Calibri" w:hAnsi="Calibri"/>
          <w:sz w:val="22"/>
          <w:szCs w:val="20"/>
          <w:lang w:val="sr-Latn-CS"/>
        </w:rPr>
        <w:t>Pretpostavljeni scenario viših/nižih kamatnih stopa na imovinu pod rizikom na dan 31.12.201</w:t>
      </w:r>
      <w:r>
        <w:rPr>
          <w:rFonts w:ascii="Calibri" w:hAnsi="Calibri"/>
          <w:sz w:val="22"/>
          <w:szCs w:val="20"/>
          <w:lang w:val="sr-Latn-CS"/>
        </w:rPr>
        <w:t>7</w:t>
      </w:r>
      <w:r w:rsidRPr="00CE2847">
        <w:rPr>
          <w:rFonts w:ascii="Calibri" w:hAnsi="Calibri"/>
          <w:sz w:val="22"/>
          <w:szCs w:val="20"/>
          <w:lang w:val="sr-Latn-CS"/>
        </w:rPr>
        <w:t xml:space="preserve">. godine, za 0.1 procentni poen na godišnjem nivou u odnosu na važeće kamatne stope na dan </w:t>
      </w:r>
      <w:r w:rsidRPr="00CE2847">
        <w:rPr>
          <w:rFonts w:ascii="Calibri" w:hAnsi="Calibri"/>
          <w:sz w:val="22"/>
          <w:szCs w:val="20"/>
          <w:lang w:val="sr-Latn-CS"/>
        </w:rPr>
        <w:lastRenderedPageBreak/>
        <w:t xml:space="preserve">bilansa i uz ostale nepromijenjene varijable, uticao bi na povećanje/smanjenje neto dobitka Fonda za iznos od  </w:t>
      </w:r>
      <w:r>
        <w:rPr>
          <w:rFonts w:ascii="Calibri" w:hAnsi="Calibri"/>
          <w:sz w:val="22"/>
          <w:szCs w:val="20"/>
          <w:lang w:val="sr-Latn-CS"/>
        </w:rPr>
        <w:t>94</w:t>
      </w:r>
      <w:r w:rsidRPr="00CE2847">
        <w:rPr>
          <w:rFonts w:ascii="Calibri" w:hAnsi="Calibri"/>
          <w:sz w:val="22"/>
          <w:szCs w:val="20"/>
          <w:lang w:val="sr-Latn-CS"/>
        </w:rPr>
        <w:t xml:space="preserve"> </w:t>
      </w:r>
      <w:r>
        <w:rPr>
          <w:rFonts w:ascii="Calibri" w:hAnsi="Calibri"/>
          <w:sz w:val="22"/>
          <w:szCs w:val="20"/>
          <w:lang w:val="sr-Latn-CS"/>
        </w:rPr>
        <w:t>KM</w:t>
      </w:r>
      <w:r w:rsidRPr="00CE2847">
        <w:rPr>
          <w:rFonts w:ascii="Calibri" w:hAnsi="Calibri"/>
          <w:sz w:val="22"/>
          <w:szCs w:val="20"/>
          <w:lang w:val="sr-Latn-CS"/>
        </w:rPr>
        <w:t>.</w:t>
      </w:r>
    </w:p>
    <w:p w:rsidR="00C9585B" w:rsidRPr="00CE2847" w:rsidRDefault="00C9585B" w:rsidP="00C9585B">
      <w:pPr>
        <w:spacing w:before="200"/>
        <w:jc w:val="both"/>
        <w:rPr>
          <w:rFonts w:ascii="Calibri" w:hAnsi="Calibri"/>
          <w:b/>
          <w:lang w:val="sr-Latn-CS"/>
        </w:rPr>
      </w:pPr>
      <w:r w:rsidRPr="00CE2847">
        <w:rPr>
          <w:rFonts w:ascii="Calibri" w:hAnsi="Calibri"/>
          <w:b/>
          <w:lang w:val="sr-Latn-CS"/>
        </w:rPr>
        <w:t>Rizik likvidnosti</w:t>
      </w:r>
    </w:p>
    <w:p w:rsidR="00C9585B" w:rsidRPr="00CE2847" w:rsidRDefault="00C9585B" w:rsidP="00C9585B">
      <w:pPr>
        <w:jc w:val="both"/>
        <w:rPr>
          <w:rFonts w:ascii="Calibri" w:hAnsi="Calibri"/>
          <w:lang w:val="sr-Latn-CS"/>
        </w:rPr>
      </w:pPr>
    </w:p>
    <w:p w:rsidR="00C9585B" w:rsidRPr="00CE2847" w:rsidRDefault="00C9585B" w:rsidP="00C9585B">
      <w:pPr>
        <w:jc w:val="both"/>
        <w:rPr>
          <w:rFonts w:ascii="Calibri" w:hAnsi="Calibri"/>
          <w:sz w:val="22"/>
          <w:lang w:val="sr-Latn-CS"/>
        </w:rPr>
      </w:pPr>
      <w:r w:rsidRPr="00CE2847">
        <w:rPr>
          <w:rFonts w:ascii="Calibri" w:hAnsi="Calibri"/>
          <w:sz w:val="22"/>
          <w:lang w:val="sr-Latn-CS"/>
        </w:rPr>
        <w:t>Fond raspolaže dovoljnim iznosom likvidnih sredstava i ima kontinuirani priliv novčanih sredstava iz poslovnih aktivnosti, što omogućava da Fond svoje obaveze izmiruje u roku dospijeća. Fond ne koristi derivativne finansijske instrumente.</w:t>
      </w:r>
    </w:p>
    <w:p w:rsidR="00C9585B" w:rsidRPr="00CE2847" w:rsidRDefault="00C9585B" w:rsidP="00C9585B">
      <w:pPr>
        <w:jc w:val="both"/>
        <w:rPr>
          <w:rFonts w:ascii="Calibri" w:hAnsi="Calibri"/>
          <w:sz w:val="22"/>
          <w:lang w:val="sr-Latn-CS"/>
        </w:rPr>
      </w:pPr>
      <w:r w:rsidRPr="00CE2847">
        <w:rPr>
          <w:rFonts w:ascii="Calibri" w:hAnsi="Calibri"/>
          <w:sz w:val="22"/>
          <w:lang w:val="sr-Latn-CS"/>
        </w:rPr>
        <w:t xml:space="preserve">S obzirom na slabiju likvidnost našeg tržišta kapitala i tržišta regije, a na kojima je je pretežno plasirana imovina Fonda, prisutan je u određenoj mjeri i rizik likvidnosti imovine Fonda. Društvo upravlja imovinom i obavezama Fonda na način koji obezbjeđuje da Fond u svakom trenutku </w:t>
      </w:r>
    </w:p>
    <w:p w:rsidR="00C9585B" w:rsidRPr="00CE2847" w:rsidRDefault="00C9585B" w:rsidP="00C9585B">
      <w:pPr>
        <w:jc w:val="both"/>
        <w:rPr>
          <w:rFonts w:ascii="Calibri" w:hAnsi="Calibri"/>
          <w:sz w:val="22"/>
          <w:lang w:val="sr-Latn-CS"/>
        </w:rPr>
      </w:pPr>
      <w:r w:rsidRPr="00CE2847">
        <w:rPr>
          <w:rFonts w:ascii="Calibri" w:hAnsi="Calibri"/>
          <w:sz w:val="22"/>
          <w:lang w:val="sr-Latn-CS"/>
        </w:rPr>
        <w:t>ispunjava svoje obaveze. U narednoj tabeli prikazan je pregled ročnosti finansijske imovine i obaveza Fonda na dan izvještavanja prema najranijem očekivanom datumu dospijeća, uključujući i kamatu koja će biti zarađena.</w:t>
      </w:r>
    </w:p>
    <w:p w:rsidR="00C9585B" w:rsidRPr="00CE2847" w:rsidRDefault="00C9585B" w:rsidP="00C9585B">
      <w:pPr>
        <w:jc w:val="both"/>
        <w:rPr>
          <w:rFonts w:ascii="Calibri" w:hAnsi="Calibri"/>
          <w:sz w:val="22"/>
          <w:lang w:val="sr-Latn-CS"/>
        </w:rPr>
      </w:pPr>
    </w:p>
    <w:p w:rsidR="00C9585B" w:rsidRDefault="00C9585B" w:rsidP="00C9585B">
      <w:pPr>
        <w:jc w:val="both"/>
        <w:rPr>
          <w:rFonts w:ascii="Calibri" w:hAnsi="Calibri"/>
          <w:sz w:val="22"/>
          <w:lang w:val="sr-Latn-CS"/>
        </w:rPr>
      </w:pPr>
      <w:r>
        <w:rPr>
          <w:rFonts w:ascii="Calibri" w:hAnsi="Calibri"/>
          <w:sz w:val="22"/>
          <w:lang w:val="sr-Latn-CS"/>
        </w:rPr>
        <w:t xml:space="preserve">Stanje na dan </w:t>
      </w:r>
      <w:r w:rsidRPr="00D9639F">
        <w:rPr>
          <w:rFonts w:ascii="Calibri" w:hAnsi="Calibri"/>
          <w:b/>
          <w:sz w:val="22"/>
          <w:lang w:val="sr-Latn-CS"/>
        </w:rPr>
        <w:t>31.12.2018.</w:t>
      </w:r>
    </w:p>
    <w:p w:rsidR="00C9585B" w:rsidRDefault="00C9585B" w:rsidP="00C9585B">
      <w:pPr>
        <w:jc w:val="both"/>
        <w:rPr>
          <w:rFonts w:ascii="Calibri" w:hAnsi="Calibri"/>
          <w:sz w:val="22"/>
          <w:lang w:val="sr-Latn-CS"/>
        </w:rPr>
      </w:pPr>
    </w:p>
    <w:p w:rsidR="00C9585B" w:rsidRDefault="00C9585B" w:rsidP="00C9585B">
      <w:pPr>
        <w:jc w:val="both"/>
        <w:rPr>
          <w:rFonts w:ascii="Calibri" w:hAnsi="Calibri"/>
          <w:sz w:val="22"/>
          <w:lang w:val="sr-Latn-CS"/>
        </w:rPr>
      </w:pPr>
      <w:r>
        <w:rPr>
          <w:noProof/>
          <w:lang w:val="sr-Latn-BA" w:eastAsia="sr-Latn-BA"/>
        </w:rPr>
        <w:drawing>
          <wp:inline distT="0" distB="0" distL="0" distR="0">
            <wp:extent cx="5727780" cy="2231541"/>
            <wp:effectExtent l="19050" t="0" r="627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728053" cy="2231647"/>
                    </a:xfrm>
                    <a:prstGeom prst="rect">
                      <a:avLst/>
                    </a:prstGeom>
                    <a:noFill/>
                    <a:ln w="9525">
                      <a:noFill/>
                      <a:miter lim="800000"/>
                      <a:headEnd/>
                      <a:tailEnd/>
                    </a:ln>
                  </pic:spPr>
                </pic:pic>
              </a:graphicData>
            </a:graphic>
          </wp:inline>
        </w:drawing>
      </w:r>
    </w:p>
    <w:p w:rsidR="00C9585B" w:rsidRDefault="00C9585B" w:rsidP="00C9585B">
      <w:pPr>
        <w:jc w:val="both"/>
        <w:rPr>
          <w:rFonts w:ascii="Calibri" w:hAnsi="Calibri"/>
          <w:sz w:val="22"/>
          <w:lang w:val="sr-Latn-CS"/>
        </w:rPr>
      </w:pPr>
    </w:p>
    <w:p w:rsidR="00C9585B" w:rsidRDefault="00C9585B" w:rsidP="00C9585B">
      <w:pPr>
        <w:jc w:val="both"/>
        <w:rPr>
          <w:rFonts w:ascii="Calibri" w:hAnsi="Calibri"/>
          <w:sz w:val="22"/>
          <w:lang w:val="sr-Latn-CS"/>
        </w:rPr>
      </w:pPr>
      <w:r>
        <w:rPr>
          <w:rFonts w:ascii="Calibri" w:hAnsi="Calibri"/>
          <w:sz w:val="22"/>
          <w:lang w:val="sr-Latn-CS"/>
        </w:rPr>
        <w:t xml:space="preserve">Stanje na dan </w:t>
      </w:r>
      <w:r w:rsidRPr="00D9639F">
        <w:rPr>
          <w:rFonts w:ascii="Calibri" w:hAnsi="Calibri"/>
          <w:b/>
          <w:sz w:val="22"/>
          <w:lang w:val="sr-Latn-CS"/>
        </w:rPr>
        <w:t>31.12.2017</w:t>
      </w:r>
      <w:r>
        <w:rPr>
          <w:rFonts w:ascii="Calibri" w:hAnsi="Calibri"/>
          <w:b/>
          <w:sz w:val="22"/>
          <w:lang w:val="sr-Latn-CS"/>
        </w:rPr>
        <w:t>.</w:t>
      </w:r>
    </w:p>
    <w:p w:rsidR="00C9585B" w:rsidRPr="00CE2847" w:rsidRDefault="00C9585B" w:rsidP="00C9585B">
      <w:pPr>
        <w:jc w:val="both"/>
        <w:rPr>
          <w:rFonts w:ascii="Calibri" w:hAnsi="Calibri"/>
          <w:sz w:val="22"/>
          <w:lang w:val="sr-Latn-CS"/>
        </w:rPr>
      </w:pPr>
    </w:p>
    <w:p w:rsidR="00C9585B" w:rsidRPr="00CE2847" w:rsidRDefault="00C9585B" w:rsidP="00C9585B">
      <w:pPr>
        <w:jc w:val="both"/>
        <w:rPr>
          <w:rFonts w:ascii="Calibri" w:hAnsi="Calibri"/>
          <w:sz w:val="22"/>
          <w:lang w:val="sr-Latn-CS"/>
        </w:rPr>
      </w:pPr>
      <w:r>
        <w:rPr>
          <w:noProof/>
          <w:lang w:val="sr-Latn-BA" w:eastAsia="sr-Latn-BA"/>
        </w:rPr>
        <w:lastRenderedPageBreak/>
        <w:drawing>
          <wp:inline distT="0" distB="0" distL="0" distR="0">
            <wp:extent cx="5727852" cy="2613866"/>
            <wp:effectExtent l="19050" t="0" r="6198"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5727607" cy="2613754"/>
                    </a:xfrm>
                    <a:prstGeom prst="rect">
                      <a:avLst/>
                    </a:prstGeom>
                    <a:noFill/>
                    <a:ln w="9525">
                      <a:noFill/>
                      <a:miter lim="800000"/>
                      <a:headEnd/>
                      <a:tailEnd/>
                    </a:ln>
                  </pic:spPr>
                </pic:pic>
              </a:graphicData>
            </a:graphic>
          </wp:inline>
        </w:drawing>
      </w:r>
    </w:p>
    <w:p w:rsidR="00C9585B" w:rsidRPr="00CE2847" w:rsidRDefault="00C9585B" w:rsidP="00C9585B">
      <w:pPr>
        <w:jc w:val="both"/>
        <w:rPr>
          <w:rFonts w:ascii="Calibri" w:hAnsi="Calibri"/>
          <w:sz w:val="22"/>
          <w:lang w:val="sr-Latn-CS"/>
        </w:rPr>
      </w:pPr>
    </w:p>
    <w:p w:rsidR="00C9585B" w:rsidRPr="00CE2847" w:rsidRDefault="00C9585B" w:rsidP="00C9585B">
      <w:pPr>
        <w:spacing w:before="200"/>
        <w:jc w:val="both"/>
        <w:rPr>
          <w:rFonts w:ascii="Calibri" w:hAnsi="Calibri"/>
          <w:b/>
          <w:szCs w:val="20"/>
          <w:lang w:val="sr-Latn-CS"/>
        </w:rPr>
      </w:pPr>
      <w:r w:rsidRPr="00CE2847">
        <w:rPr>
          <w:rFonts w:ascii="Calibri" w:hAnsi="Calibri"/>
          <w:b/>
          <w:szCs w:val="20"/>
          <w:lang w:val="sr-Latn-CS"/>
        </w:rPr>
        <w:t>Kreditni rizik</w:t>
      </w:r>
    </w:p>
    <w:p w:rsidR="00C9585B" w:rsidRPr="00CE2847" w:rsidRDefault="00C9585B" w:rsidP="00C9585B">
      <w:pPr>
        <w:jc w:val="both"/>
        <w:rPr>
          <w:rFonts w:ascii="Calibri" w:hAnsi="Calibri"/>
          <w:sz w:val="22"/>
          <w:lang w:val="sr-Latn-CS"/>
        </w:rPr>
      </w:pPr>
    </w:p>
    <w:p w:rsidR="00C9585B" w:rsidRPr="00CE2847" w:rsidRDefault="00C9585B" w:rsidP="00C9585B">
      <w:pPr>
        <w:jc w:val="both"/>
        <w:rPr>
          <w:rFonts w:ascii="Calibri" w:hAnsi="Calibri"/>
          <w:sz w:val="22"/>
          <w:lang w:val="sr-Latn-CS"/>
        </w:rPr>
      </w:pPr>
      <w:r w:rsidRPr="00CE2847">
        <w:rPr>
          <w:rFonts w:ascii="Calibri" w:hAnsi="Calibri"/>
          <w:sz w:val="22"/>
          <w:lang w:val="sr-Latn-CS"/>
        </w:rPr>
        <w:t>Kreditni rizik, u smislu rizika vraćanja glavnice i pripadajuće kamate, nema značajan uticaj na kretanje vrijednosti imovine fonda, a u najvećoj mjeri je izražen kod depozita (</w:t>
      </w:r>
      <w:r>
        <w:rPr>
          <w:rFonts w:ascii="Calibri" w:hAnsi="Calibri"/>
          <w:sz w:val="22"/>
          <w:lang w:val="sr-Latn-CS"/>
        </w:rPr>
        <w:t>17.89</w:t>
      </w:r>
      <w:r w:rsidRPr="00CE2847">
        <w:rPr>
          <w:rFonts w:ascii="Calibri" w:hAnsi="Calibri"/>
          <w:sz w:val="22"/>
          <w:lang w:val="sr-Latn-CS"/>
        </w:rPr>
        <w:t xml:space="preserve">%  imovine Fonda ). Depoziti se ulažu u vodeće banke na tržištu uz pridržavanje načela diverzifikacije. U dužničke hartije od vrijednosti je uloženo </w:t>
      </w:r>
      <w:r>
        <w:rPr>
          <w:rFonts w:ascii="Calibri" w:hAnsi="Calibri"/>
          <w:sz w:val="22"/>
          <w:lang w:val="sr-Latn-CS"/>
        </w:rPr>
        <w:t>0.05</w:t>
      </w:r>
      <w:r w:rsidRPr="00CE2847">
        <w:rPr>
          <w:rFonts w:ascii="Calibri" w:hAnsi="Calibri"/>
          <w:sz w:val="22"/>
          <w:lang w:val="sr-Latn-CS"/>
        </w:rPr>
        <w:t xml:space="preserve"> % imovine fonda, i to u državne obveznice. </w:t>
      </w:r>
    </w:p>
    <w:p w:rsidR="00C9585B" w:rsidRPr="00CE2847" w:rsidRDefault="00C9585B" w:rsidP="00C9585B">
      <w:pPr>
        <w:jc w:val="both"/>
        <w:rPr>
          <w:rFonts w:ascii="Calibri" w:hAnsi="Calibri"/>
          <w:sz w:val="22"/>
          <w:lang w:val="sr-Latn-CS"/>
        </w:rPr>
      </w:pPr>
      <w:r w:rsidRPr="00CE2847">
        <w:rPr>
          <w:rFonts w:ascii="Calibri" w:hAnsi="Calibri"/>
          <w:sz w:val="22"/>
          <w:lang w:val="sr-Latn-CS"/>
        </w:rPr>
        <w:t>Fond nije ulagao u finansijske instrumente onih emitenata koji pokazuju  pogoršanje poslovanja ili  su u prethodnoj poslovnoj godini iskazali gubitak u finansijskim izvještajima.</w:t>
      </w:r>
    </w:p>
    <w:p w:rsidR="00C9585B" w:rsidRPr="00CE2847" w:rsidRDefault="00C9585B" w:rsidP="00C9585B">
      <w:pPr>
        <w:ind w:firstLine="720"/>
        <w:jc w:val="both"/>
        <w:rPr>
          <w:rFonts w:ascii="Calibri" w:hAnsi="Calibri"/>
          <w:b/>
          <w:lang w:val="sr-Latn-CS"/>
        </w:rPr>
      </w:pPr>
    </w:p>
    <w:p w:rsidR="00C9585B" w:rsidRPr="00CE2847" w:rsidRDefault="00C9585B" w:rsidP="00C9585B">
      <w:pPr>
        <w:jc w:val="both"/>
        <w:rPr>
          <w:rFonts w:ascii="Calibri" w:hAnsi="Calibri"/>
          <w:b/>
          <w:lang w:val="sr-Latn-CS"/>
        </w:rPr>
      </w:pPr>
    </w:p>
    <w:p w:rsidR="00C9585B" w:rsidRPr="00CE2847" w:rsidRDefault="00C9585B" w:rsidP="00C9585B">
      <w:pPr>
        <w:jc w:val="both"/>
        <w:rPr>
          <w:rFonts w:ascii="Calibri" w:hAnsi="Calibri"/>
          <w:b/>
          <w:lang w:val="sr-Latn-CS"/>
        </w:rPr>
      </w:pPr>
      <w:r w:rsidRPr="00CE2847">
        <w:rPr>
          <w:rFonts w:ascii="Calibri" w:hAnsi="Calibri"/>
          <w:b/>
          <w:lang w:val="sr-Latn-CS"/>
        </w:rPr>
        <w:t>Rizik poravnanja i rizik druge ugovorne strane</w:t>
      </w:r>
    </w:p>
    <w:p w:rsidR="00C9585B" w:rsidRPr="00CE2847" w:rsidRDefault="00C9585B" w:rsidP="00C9585B">
      <w:pPr>
        <w:jc w:val="both"/>
        <w:rPr>
          <w:rFonts w:ascii="Calibri" w:hAnsi="Calibri"/>
          <w:lang w:val="sr-Latn-CS"/>
        </w:rPr>
      </w:pPr>
      <w:r w:rsidRPr="00CE2847">
        <w:rPr>
          <w:rFonts w:ascii="Calibri" w:hAnsi="Calibri"/>
          <w:lang w:val="sr-Latn-CS"/>
        </w:rPr>
        <w:t xml:space="preserve"> </w:t>
      </w:r>
    </w:p>
    <w:p w:rsidR="00C9585B" w:rsidRPr="00CE2847" w:rsidRDefault="00C9585B" w:rsidP="00C9585B">
      <w:pPr>
        <w:jc w:val="both"/>
        <w:rPr>
          <w:rFonts w:ascii="Calibri" w:hAnsi="Calibri"/>
          <w:sz w:val="22"/>
          <w:lang w:val="sr-Latn-CS"/>
        </w:rPr>
      </w:pPr>
      <w:r w:rsidRPr="00CE2847">
        <w:rPr>
          <w:rFonts w:ascii="Calibri" w:hAnsi="Calibri"/>
          <w:sz w:val="22"/>
          <w:lang w:val="sr-Latn-CS"/>
        </w:rPr>
        <w:t xml:space="preserve">Plaćanje svih transakcija sa hartijama od vrijednosti vrši se putem ovlašćenih brokera. Rizik neplaćanja je minimalan, jer se vlasništvo nad prodatim hartijama od vrijednosti preknjižava na kupca istovremeno sa naplatom potraživanog iznosa. Prilikom kupovine, plaćanje se vrši istovremeno sa prenosom kupljenih HOV. </w:t>
      </w:r>
    </w:p>
    <w:p w:rsidR="00C9585B" w:rsidRPr="00CE2847" w:rsidRDefault="00C9585B" w:rsidP="00C9585B">
      <w:pPr>
        <w:jc w:val="both"/>
        <w:rPr>
          <w:rFonts w:ascii="Calibri" w:hAnsi="Calibri"/>
          <w:sz w:val="22"/>
          <w:lang w:val="sr-Latn-CS"/>
        </w:rPr>
      </w:pPr>
      <w:r w:rsidRPr="00CE2847">
        <w:rPr>
          <w:rFonts w:ascii="Calibri" w:hAnsi="Calibri"/>
          <w:sz w:val="22"/>
          <w:lang w:val="sr-Latn-CS"/>
        </w:rPr>
        <w:t xml:space="preserve"> </w:t>
      </w:r>
    </w:p>
    <w:p w:rsidR="00C9585B" w:rsidRPr="00CE2847" w:rsidRDefault="00C9585B" w:rsidP="00C9585B">
      <w:pPr>
        <w:spacing w:before="200"/>
        <w:jc w:val="both"/>
        <w:rPr>
          <w:rFonts w:ascii="Calibri" w:hAnsi="Calibri"/>
          <w:b/>
          <w:szCs w:val="20"/>
          <w:lang w:val="sr-Latn-CS"/>
        </w:rPr>
      </w:pPr>
      <w:r w:rsidRPr="00CE2847">
        <w:rPr>
          <w:rFonts w:ascii="Calibri" w:hAnsi="Calibri"/>
          <w:b/>
          <w:szCs w:val="20"/>
          <w:lang w:val="sr-Latn-CS"/>
        </w:rPr>
        <w:t xml:space="preserve">Fer vrijednost  </w:t>
      </w:r>
    </w:p>
    <w:p w:rsidR="00C9585B" w:rsidRPr="00CE2847" w:rsidRDefault="00C9585B" w:rsidP="00C9585B">
      <w:pPr>
        <w:spacing w:before="200"/>
        <w:jc w:val="both"/>
        <w:rPr>
          <w:rFonts w:ascii="Calibri" w:hAnsi="Calibri"/>
          <w:i/>
          <w:sz w:val="22"/>
          <w:szCs w:val="20"/>
          <w:lang w:val="sr-Latn-CS"/>
        </w:rPr>
      </w:pPr>
      <w:r w:rsidRPr="00EB5185">
        <w:rPr>
          <w:rFonts w:ascii="Calibri" w:hAnsi="Calibri"/>
          <w:sz w:val="22"/>
          <w:szCs w:val="20"/>
          <w:lang w:val="sr-Latn-CS"/>
        </w:rPr>
        <w:t>Fer vrijednost finansijskih instrumenata se bazira na kotiranim tržišnim cijenama, ako su dostupne. Ako tržišne cijene nisu dostupne ili ne ispunjavaju uslove propisane Pravilnikom o utvr]ivanju vrijednosti imovine investicionog fonda i obračunu neto vrijednosti imovine o udjelu ili akciji investicionog fonda, fer vrijednost se procjenjuje primjenom odgovarajućih tehnika procjene. Za depozite, obaveze i potraživanja fonda, knjigovodstvena vrijednost je približna fer vrijednosti zbog njihovog kratkog dospijeća.</w:t>
      </w:r>
    </w:p>
    <w:p w:rsidR="00C9585B" w:rsidRPr="00CE2847" w:rsidRDefault="00C9585B" w:rsidP="00C9585B">
      <w:pPr>
        <w:jc w:val="both"/>
        <w:rPr>
          <w:rFonts w:ascii="Calibri" w:hAnsi="Calibri"/>
          <w:lang w:val="sr-Latn-CS"/>
        </w:rPr>
      </w:pPr>
    </w:p>
    <w:p w:rsidR="00320BEF" w:rsidRPr="00FF11F5" w:rsidRDefault="00FF11F5" w:rsidP="00FF11F5">
      <w:pPr>
        <w:ind w:left="5040" w:firstLine="720"/>
        <w:rPr>
          <w:rFonts w:ascii="Calibri" w:hAnsi="Calibri"/>
          <w:lang w:val="sr-Latn-CS"/>
        </w:rPr>
      </w:pPr>
      <w:r>
        <w:rPr>
          <w:rFonts w:ascii="Calibri" w:hAnsi="Calibri"/>
          <w:lang w:val="sr-Latn-CS"/>
        </w:rPr>
        <w:t xml:space="preserve"> </w:t>
      </w:r>
      <w:r>
        <w:rPr>
          <w:rFonts w:ascii="Calibri" w:hAnsi="Calibri"/>
          <w:lang w:val="sr-Latn-CS"/>
        </w:rPr>
        <w:tab/>
      </w:r>
      <w:r>
        <w:rPr>
          <w:rFonts w:ascii="Calibri" w:hAnsi="Calibri"/>
          <w:lang w:val="sr-Latn-CS"/>
        </w:rPr>
        <w:tab/>
      </w: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A640F" w:rsidRDefault="00CA640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Pr="004B678C" w:rsidRDefault="00C85F0E" w:rsidP="008F739F">
      <w:pPr>
        <w:tabs>
          <w:tab w:val="left" w:pos="269"/>
          <w:tab w:val="left" w:pos="806"/>
          <w:tab w:val="left" w:pos="1728"/>
          <w:tab w:val="left" w:pos="2448"/>
          <w:tab w:val="left" w:pos="3168"/>
          <w:tab w:val="left" w:pos="3888"/>
          <w:tab w:val="left" w:pos="4608"/>
          <w:tab w:val="left" w:pos="5328"/>
          <w:tab w:val="left" w:pos="6048"/>
          <w:tab w:val="left" w:pos="6768"/>
        </w:tabs>
        <w:jc w:val="center"/>
        <w:rPr>
          <w:rFonts w:ascii="Calibri" w:hAnsi="Calibri" w:cs="Arial"/>
          <w:b/>
          <w:noProof/>
          <w:lang w:val="sr-Latn-BA"/>
        </w:rPr>
      </w:pPr>
      <w:r w:rsidRPr="004B678C">
        <w:rPr>
          <w:rFonts w:ascii="Calibri" w:hAnsi="Calibri" w:cs="Arial"/>
          <w:b/>
          <w:noProof/>
          <w:lang w:val="sr-Latn-BA"/>
        </w:rPr>
        <w:lastRenderedPageBreak/>
        <w:t>PRILOZI UZ FINANSIJSKE IZVJEŠTAJE</w:t>
      </w:r>
    </w:p>
    <w:p w:rsidR="00C85F0E" w:rsidRPr="004B678C"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Pr="004B678C"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C46DC" w:rsidRPr="004B678C" w:rsidRDefault="008C46D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ru-RU"/>
        </w:rPr>
      </w:pPr>
      <w:r w:rsidRPr="004B678C">
        <w:rPr>
          <w:rFonts w:ascii="Calibri" w:hAnsi="Calibri" w:cs="Arial"/>
          <w:noProof/>
          <w:lang w:val="ru-RU"/>
        </w:rPr>
        <w:t xml:space="preserve">U skladu sa članom 175. Zakona o investicionim fondovima (''Službeni glasnik RS'', broj 92/06 </w:t>
      </w:r>
      <w:r w:rsidRPr="004B678C">
        <w:rPr>
          <w:rFonts w:ascii="Calibri" w:hAnsi="Calibri" w:cs="Arial"/>
          <w:noProof/>
        </w:rPr>
        <w:t>i 82/15</w:t>
      </w:r>
      <w:r w:rsidRPr="004B678C">
        <w:rPr>
          <w:rFonts w:ascii="Calibri" w:hAnsi="Calibri" w:cs="Arial"/>
          <w:noProof/>
          <w:lang w:val="ru-RU"/>
        </w:rPr>
        <w:t>) Fond je u obavezi da, pored već objelodanjenih informacija u svojim finansijskim izvještajima, objelodani i sljedeće informacije:</w:t>
      </w:r>
    </w:p>
    <w:p w:rsidR="008C46DC" w:rsidRPr="004B678C" w:rsidRDefault="008C46DC" w:rsidP="008C46DC">
      <w:pPr>
        <w:jc w:val="both"/>
        <w:rPr>
          <w:rFonts w:ascii="Calibri" w:hAnsi="Calibri" w:cs="Arial"/>
          <w:noProof/>
          <w:lang w:val="ru-RU"/>
        </w:rPr>
      </w:pPr>
    </w:p>
    <w:p w:rsidR="008C46DC" w:rsidRPr="004B678C" w:rsidRDefault="008C46DC" w:rsidP="0002568E">
      <w:pPr>
        <w:widowControl w:val="0"/>
        <w:autoSpaceDE w:val="0"/>
        <w:autoSpaceDN w:val="0"/>
        <w:adjustRightInd w:val="0"/>
        <w:jc w:val="both"/>
        <w:rPr>
          <w:rFonts w:ascii="Calibri" w:hAnsi="Calibri" w:cs="Arial"/>
          <w:noProof/>
          <w:lang w:val="sr-Latn-BA"/>
        </w:rPr>
      </w:pPr>
      <w:r w:rsidRPr="004B678C">
        <w:rPr>
          <w:rFonts w:ascii="Calibri" w:hAnsi="Calibri" w:cs="Arial"/>
          <w:noProof/>
          <w:lang w:val="ru-RU"/>
        </w:rPr>
        <w:t>Fond je izvršio obračun ukupnog iznosa svih troškova koji se knjiže na teret Fonda, a koji se</w:t>
      </w:r>
      <w:r w:rsidRPr="00A636D5">
        <w:rPr>
          <w:rFonts w:ascii="Calibri" w:hAnsi="Calibri" w:cs="Arial"/>
          <w:noProof/>
          <w:lang w:val="ru-RU"/>
        </w:rPr>
        <w:t xml:space="preserve"> </w:t>
      </w:r>
      <w:r w:rsidRPr="004B678C">
        <w:rPr>
          <w:rFonts w:ascii="Calibri" w:hAnsi="Calibri" w:cs="Arial"/>
          <w:noProof/>
          <w:lang w:val="ru-RU"/>
        </w:rPr>
        <w:t xml:space="preserve">iskazuju kao pokazatelj ukupnih troškova. </w:t>
      </w:r>
      <w:r w:rsidRPr="004B678C">
        <w:rPr>
          <w:rFonts w:ascii="Calibri" w:hAnsi="Calibri" w:cs="Arial"/>
          <w:noProof/>
        </w:rPr>
        <w:t>Navedeni pokazatelj z</w:t>
      </w:r>
      <w:r w:rsidR="00870C0F" w:rsidRPr="004B678C">
        <w:rPr>
          <w:rFonts w:ascii="Calibri" w:hAnsi="Calibri" w:cs="Arial"/>
          <w:noProof/>
        </w:rPr>
        <w:t>a 2018</w:t>
      </w:r>
      <w:r w:rsidRPr="004B678C">
        <w:rPr>
          <w:rFonts w:ascii="Calibri" w:hAnsi="Calibri" w:cs="Arial"/>
          <w:noProof/>
        </w:rPr>
        <w:t xml:space="preserve">. godinu iznosi </w:t>
      </w:r>
      <w:r w:rsidR="00870C0F" w:rsidRPr="004B678C">
        <w:rPr>
          <w:rFonts w:ascii="Calibri" w:hAnsi="Calibri" w:cs="Arial"/>
          <w:noProof/>
        </w:rPr>
        <w:t>3,50</w:t>
      </w:r>
      <w:r w:rsidR="00A636D5" w:rsidRPr="004B678C">
        <w:rPr>
          <w:rFonts w:ascii="Calibri" w:hAnsi="Calibri" w:cs="Arial"/>
          <w:noProof/>
        </w:rPr>
        <w:t>.</w:t>
      </w:r>
    </w:p>
    <w:p w:rsidR="00A636D5" w:rsidRPr="004B678C" w:rsidRDefault="00A636D5" w:rsidP="00A636D5">
      <w:pPr>
        <w:widowControl w:val="0"/>
        <w:autoSpaceDE w:val="0"/>
        <w:autoSpaceDN w:val="0"/>
        <w:adjustRightInd w:val="0"/>
        <w:ind w:left="360"/>
        <w:jc w:val="both"/>
        <w:rPr>
          <w:rFonts w:ascii="Calibri" w:hAnsi="Calibri" w:cs="Arial"/>
          <w:noProof/>
        </w:rPr>
      </w:pPr>
    </w:p>
    <w:p w:rsidR="008C46DC" w:rsidRPr="004B678C" w:rsidRDefault="008C46DC" w:rsidP="0002568E">
      <w:pPr>
        <w:widowControl w:val="0"/>
        <w:autoSpaceDE w:val="0"/>
        <w:autoSpaceDN w:val="0"/>
        <w:adjustRightInd w:val="0"/>
        <w:spacing w:after="120"/>
        <w:jc w:val="both"/>
        <w:rPr>
          <w:rFonts w:ascii="Calibri" w:hAnsi="Calibri" w:cs="Arial"/>
          <w:noProof/>
          <w:lang w:val="ru-RU"/>
        </w:rPr>
      </w:pPr>
      <w:r w:rsidRPr="004B678C">
        <w:rPr>
          <w:rFonts w:ascii="Calibri" w:hAnsi="Calibri" w:cs="Arial"/>
          <w:noProof/>
          <w:lang w:val="ru-RU"/>
        </w:rPr>
        <w:t xml:space="preserve">U dole navedenoj tabeli, a u skladu sa članom 175. stav.1, tačka </w:t>
      </w:r>
      <w:r w:rsidRPr="004B678C">
        <w:rPr>
          <w:rFonts w:ascii="Calibri" w:hAnsi="Calibri" w:cs="Arial"/>
          <w:noProof/>
        </w:rPr>
        <w:t>d</w:t>
      </w:r>
      <w:r w:rsidRPr="004B678C">
        <w:rPr>
          <w:rFonts w:ascii="Calibri" w:hAnsi="Calibri" w:cs="Arial"/>
          <w:noProof/>
          <w:lang w:val="ru-RU"/>
        </w:rPr>
        <w:t>. dat je prikaz berzanskih posrednika u trgovini hartijama od vrijednosti putem kojeg je Fond obavio više od 1</w:t>
      </w:r>
      <w:r w:rsidR="00F15C8C" w:rsidRPr="004B678C">
        <w:rPr>
          <w:rFonts w:ascii="Calibri" w:hAnsi="Calibri" w:cs="Arial"/>
          <w:noProof/>
          <w:lang w:val="ru-RU"/>
        </w:rPr>
        <w:t>0% svojih transakcija tokom 201</w:t>
      </w:r>
      <w:r w:rsidR="00870C0F" w:rsidRPr="004B678C">
        <w:rPr>
          <w:rFonts w:ascii="Calibri" w:hAnsi="Calibri" w:cs="Arial"/>
          <w:noProof/>
        </w:rPr>
        <w:t>8</w:t>
      </w:r>
      <w:r w:rsidRPr="004B678C">
        <w:rPr>
          <w:rFonts w:ascii="Calibri" w:hAnsi="Calibri" w:cs="Arial"/>
          <w:noProof/>
          <w:lang w:val="ru-RU"/>
        </w:rPr>
        <w:t>. godine uz navođenje:</w:t>
      </w:r>
    </w:p>
    <w:p w:rsidR="008C46DC" w:rsidRPr="004B678C" w:rsidRDefault="008C46DC" w:rsidP="008C46DC">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a)</w:t>
      </w:r>
      <w:r w:rsidRPr="004B678C">
        <w:rPr>
          <w:rFonts w:ascii="Calibri" w:hAnsi="Calibri" w:cs="Arial"/>
          <w:noProof/>
          <w:color w:val="auto"/>
          <w:lang w:val="ru-RU"/>
        </w:rPr>
        <w:tab/>
        <w:t>ukupne vrijednosti svih transakcija obavljenih putem pojedinog berzanskog posrednika, iskazane su kao procenat ukupne vrijednosti svih transakcija Fonda u toj godini i</w:t>
      </w:r>
    </w:p>
    <w:p w:rsidR="008C46DC" w:rsidRPr="004B678C" w:rsidRDefault="008C46DC" w:rsidP="008C46DC">
      <w:pPr>
        <w:pStyle w:val="Default"/>
        <w:ind w:left="928"/>
        <w:jc w:val="both"/>
        <w:rPr>
          <w:rFonts w:ascii="Calibri" w:hAnsi="Calibri" w:cs="Arial"/>
          <w:noProof/>
          <w:color w:val="auto"/>
          <w:lang w:val="ru-RU"/>
        </w:rPr>
      </w:pPr>
    </w:p>
    <w:p w:rsidR="008C46DC" w:rsidRPr="004B678C" w:rsidRDefault="008C46DC" w:rsidP="008C46DC">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b)</w:t>
      </w:r>
      <w:r w:rsidRPr="004B678C">
        <w:rPr>
          <w:rFonts w:ascii="Calibri" w:hAnsi="Calibri" w:cs="Arial"/>
          <w:noProof/>
          <w:color w:val="auto"/>
          <w:lang w:val="ru-RU"/>
        </w:rPr>
        <w:tab/>
        <w:t>provizije plaćene berzanskom posredniku, iskazane su kao procenat ukupne vrijednosti transakcija obavljenih posredstvom tog berzanskog posrednika.</w:t>
      </w:r>
    </w:p>
    <w:p w:rsidR="008C46DC" w:rsidRPr="00870C0F" w:rsidRDefault="008C46DC" w:rsidP="008C46DC">
      <w:pPr>
        <w:rPr>
          <w:rFonts w:ascii="Calibri" w:hAnsi="Calibri" w:cs="Arial"/>
          <w:noProof/>
          <w:highlight w:val="lightGray"/>
          <w:lang w:val="ru-RU"/>
        </w:rPr>
      </w:pPr>
    </w:p>
    <w:tbl>
      <w:tblPr>
        <w:tblW w:w="9778" w:type="dxa"/>
        <w:tblInd w:w="-510" w:type="dxa"/>
        <w:tblLayout w:type="fixed"/>
        <w:tblCellMar>
          <w:left w:w="57" w:type="dxa"/>
          <w:right w:w="57" w:type="dxa"/>
        </w:tblCellMar>
        <w:tblLook w:val="04A0"/>
      </w:tblPr>
      <w:tblGrid>
        <w:gridCol w:w="3261"/>
        <w:gridCol w:w="148"/>
        <w:gridCol w:w="1484"/>
        <w:gridCol w:w="134"/>
        <w:gridCol w:w="1489"/>
        <w:gridCol w:w="140"/>
        <w:gridCol w:w="1498"/>
        <w:gridCol w:w="140"/>
        <w:gridCol w:w="1484"/>
      </w:tblGrid>
      <w:tr w:rsidR="008C46DC" w:rsidRPr="00550FC6" w:rsidTr="00C113C7">
        <w:tc>
          <w:tcPr>
            <w:tcW w:w="3261" w:type="dxa"/>
            <w:tcBorders>
              <w:bottom w:val="single" w:sz="4" w:space="0" w:color="auto"/>
            </w:tcBorders>
            <w:vAlign w:val="bottom"/>
          </w:tcPr>
          <w:p w:rsidR="008C46DC" w:rsidRPr="00550FC6" w:rsidRDefault="004E476A" w:rsidP="00C113C7">
            <w:pPr>
              <w:pStyle w:val="Default"/>
              <w:widowControl w:val="0"/>
              <w:rPr>
                <w:rFonts w:ascii="Calibri" w:hAnsi="Calibri" w:cs="Arial"/>
                <w:b/>
                <w:noProof/>
                <w:color w:val="auto"/>
              </w:rPr>
            </w:pPr>
            <w:r w:rsidRPr="00550FC6">
              <w:rPr>
                <w:rFonts w:ascii="Calibri" w:hAnsi="Calibri" w:cs="Arial"/>
                <w:b/>
                <w:noProof/>
                <w:color w:val="auto"/>
              </w:rPr>
              <w:t xml:space="preserve">        </w:t>
            </w:r>
            <w:r w:rsidR="008C46DC" w:rsidRPr="00550FC6">
              <w:rPr>
                <w:rFonts w:ascii="Calibri" w:hAnsi="Calibri" w:cs="Arial"/>
                <w:b/>
                <w:noProof/>
                <w:color w:val="auto"/>
              </w:rPr>
              <w:t>Berzanski posrednik</w:t>
            </w:r>
          </w:p>
        </w:tc>
        <w:tc>
          <w:tcPr>
            <w:tcW w:w="148" w:type="dxa"/>
            <w:vAlign w:val="bottom"/>
          </w:tcPr>
          <w:p w:rsidR="008C46DC" w:rsidRPr="00550FC6" w:rsidRDefault="008C46DC" w:rsidP="00C113C7">
            <w:pPr>
              <w:pStyle w:val="Default"/>
              <w:widowControl w:val="0"/>
              <w:jc w:val="right"/>
              <w:rPr>
                <w:rFonts w:ascii="Calibri" w:hAnsi="Calibri" w:cs="Arial"/>
                <w:b/>
                <w:bCs/>
                <w:noProof/>
                <w:color w:val="auto"/>
              </w:rPr>
            </w:pPr>
          </w:p>
        </w:tc>
        <w:tc>
          <w:tcPr>
            <w:tcW w:w="1484" w:type="dxa"/>
            <w:tcBorders>
              <w:bottom w:val="single" w:sz="4" w:space="0" w:color="auto"/>
            </w:tcBorders>
            <w:vAlign w:val="bottom"/>
          </w:tcPr>
          <w:p w:rsidR="008C46DC" w:rsidRPr="00550FC6" w:rsidRDefault="008C46DC" w:rsidP="00C113C7">
            <w:pPr>
              <w:pStyle w:val="Default"/>
              <w:widowControl w:val="0"/>
              <w:ind w:right="72"/>
              <w:jc w:val="right"/>
              <w:rPr>
                <w:rFonts w:ascii="Calibri" w:hAnsi="Calibri" w:cs="Arial"/>
                <w:noProof/>
                <w:color w:val="auto"/>
              </w:rPr>
            </w:pPr>
            <w:r w:rsidRPr="00550FC6">
              <w:rPr>
                <w:rFonts w:ascii="Calibri" w:hAnsi="Calibri" w:cs="Arial"/>
                <w:b/>
                <w:bCs/>
                <w:noProof/>
                <w:color w:val="auto"/>
              </w:rPr>
              <w:t xml:space="preserve">Vrijednost </w:t>
            </w:r>
          </w:p>
          <w:p w:rsidR="008C46DC" w:rsidRPr="00550FC6" w:rsidRDefault="008C46DC" w:rsidP="00C113C7">
            <w:pPr>
              <w:ind w:right="72"/>
              <w:jc w:val="right"/>
              <w:rPr>
                <w:rFonts w:ascii="Calibri" w:hAnsi="Calibri" w:cs="Arial"/>
                <w:b/>
                <w:bCs/>
                <w:noProof/>
              </w:rPr>
            </w:pPr>
            <w:r w:rsidRPr="00550FC6">
              <w:rPr>
                <w:rFonts w:ascii="Calibri" w:hAnsi="Calibri" w:cs="Arial"/>
                <w:b/>
                <w:bCs/>
                <w:noProof/>
              </w:rPr>
              <w:t>transakcija</w:t>
            </w:r>
          </w:p>
          <w:p w:rsidR="008C46DC" w:rsidRPr="00550FC6" w:rsidRDefault="008C46DC" w:rsidP="00C113C7">
            <w:pPr>
              <w:ind w:right="72"/>
              <w:jc w:val="right"/>
              <w:rPr>
                <w:rFonts w:ascii="Calibri" w:hAnsi="Calibri" w:cs="Arial"/>
                <w:noProof/>
              </w:rPr>
            </w:pPr>
            <w:r w:rsidRPr="00550FC6">
              <w:rPr>
                <w:rFonts w:ascii="Calibri" w:hAnsi="Calibri" w:cs="Arial"/>
                <w:b/>
                <w:bCs/>
                <w:noProof/>
              </w:rPr>
              <w:t xml:space="preserve"> (u KM)</w:t>
            </w:r>
          </w:p>
        </w:tc>
        <w:tc>
          <w:tcPr>
            <w:tcW w:w="134" w:type="dxa"/>
            <w:vAlign w:val="bottom"/>
          </w:tcPr>
          <w:p w:rsidR="008C46DC" w:rsidRPr="00550FC6" w:rsidRDefault="008C46DC" w:rsidP="00C113C7">
            <w:pPr>
              <w:pStyle w:val="Default"/>
              <w:widowControl w:val="0"/>
              <w:ind w:right="72"/>
              <w:jc w:val="right"/>
              <w:rPr>
                <w:rFonts w:ascii="Calibri" w:hAnsi="Calibri" w:cs="Arial"/>
                <w:b/>
                <w:bCs/>
                <w:noProof/>
                <w:color w:val="auto"/>
              </w:rPr>
            </w:pPr>
          </w:p>
        </w:tc>
        <w:tc>
          <w:tcPr>
            <w:tcW w:w="1489" w:type="dxa"/>
            <w:tcBorders>
              <w:bottom w:val="single" w:sz="4" w:space="0" w:color="auto"/>
            </w:tcBorders>
            <w:vAlign w:val="bottom"/>
          </w:tcPr>
          <w:p w:rsidR="008C46DC" w:rsidRPr="00550FC6" w:rsidRDefault="008C46DC" w:rsidP="00C113C7">
            <w:pPr>
              <w:pStyle w:val="Default"/>
              <w:widowControl w:val="0"/>
              <w:ind w:right="72"/>
              <w:jc w:val="right"/>
              <w:rPr>
                <w:rFonts w:ascii="Calibri" w:hAnsi="Calibri" w:cs="Arial"/>
                <w:noProof/>
                <w:color w:val="auto"/>
              </w:rPr>
            </w:pPr>
            <w:r w:rsidRPr="00550FC6">
              <w:rPr>
                <w:rFonts w:ascii="Calibri" w:hAnsi="Calibri" w:cs="Arial"/>
                <w:b/>
                <w:bCs/>
                <w:noProof/>
                <w:color w:val="auto"/>
              </w:rPr>
              <w:t xml:space="preserve">% ukupnih </w:t>
            </w:r>
          </w:p>
          <w:p w:rsidR="008C46DC" w:rsidRPr="00550FC6" w:rsidRDefault="008C46DC" w:rsidP="00C113C7">
            <w:pPr>
              <w:ind w:right="72"/>
              <w:jc w:val="right"/>
              <w:rPr>
                <w:rFonts w:ascii="Calibri" w:hAnsi="Calibri" w:cs="Arial"/>
                <w:noProof/>
              </w:rPr>
            </w:pPr>
            <w:r w:rsidRPr="00550FC6">
              <w:rPr>
                <w:rFonts w:ascii="Calibri" w:hAnsi="Calibri" w:cs="Arial"/>
                <w:b/>
                <w:bCs/>
                <w:noProof/>
              </w:rPr>
              <w:t>Transakcija</w:t>
            </w:r>
          </w:p>
        </w:tc>
        <w:tc>
          <w:tcPr>
            <w:tcW w:w="140" w:type="dxa"/>
            <w:vAlign w:val="bottom"/>
          </w:tcPr>
          <w:p w:rsidR="008C46DC" w:rsidRPr="00550FC6" w:rsidRDefault="008C46DC" w:rsidP="00C113C7">
            <w:pPr>
              <w:ind w:right="72"/>
              <w:jc w:val="right"/>
              <w:rPr>
                <w:rFonts w:ascii="Calibri" w:hAnsi="Calibri" w:cs="Arial"/>
                <w:b/>
                <w:bCs/>
                <w:noProof/>
              </w:rPr>
            </w:pPr>
          </w:p>
        </w:tc>
        <w:tc>
          <w:tcPr>
            <w:tcW w:w="1498" w:type="dxa"/>
            <w:tcBorders>
              <w:bottom w:val="single" w:sz="4" w:space="0" w:color="auto"/>
            </w:tcBorders>
            <w:vAlign w:val="bottom"/>
          </w:tcPr>
          <w:p w:rsidR="008C46DC" w:rsidRPr="00550FC6" w:rsidRDefault="008C46DC" w:rsidP="00C113C7">
            <w:pPr>
              <w:ind w:right="72"/>
              <w:jc w:val="right"/>
              <w:rPr>
                <w:rFonts w:ascii="Calibri" w:hAnsi="Calibri" w:cs="Arial"/>
                <w:b/>
                <w:bCs/>
                <w:noProof/>
              </w:rPr>
            </w:pPr>
            <w:r w:rsidRPr="00550FC6">
              <w:rPr>
                <w:rFonts w:ascii="Calibri" w:hAnsi="Calibri" w:cs="Arial"/>
                <w:b/>
                <w:bCs/>
                <w:noProof/>
              </w:rPr>
              <w:t xml:space="preserve">Plaćena provizija </w:t>
            </w:r>
          </w:p>
          <w:p w:rsidR="008C46DC" w:rsidRPr="00550FC6" w:rsidRDefault="008C46DC" w:rsidP="00C113C7">
            <w:pPr>
              <w:ind w:right="72"/>
              <w:jc w:val="right"/>
              <w:rPr>
                <w:rFonts w:ascii="Calibri" w:hAnsi="Calibri" w:cs="Arial"/>
                <w:noProof/>
              </w:rPr>
            </w:pPr>
            <w:r w:rsidRPr="00550FC6">
              <w:rPr>
                <w:rFonts w:ascii="Calibri" w:hAnsi="Calibri" w:cs="Arial"/>
                <w:b/>
                <w:bCs/>
                <w:noProof/>
              </w:rPr>
              <w:t>(u KM)</w:t>
            </w:r>
          </w:p>
        </w:tc>
        <w:tc>
          <w:tcPr>
            <w:tcW w:w="140" w:type="dxa"/>
            <w:vAlign w:val="bottom"/>
          </w:tcPr>
          <w:p w:rsidR="008C46DC" w:rsidRPr="00550FC6" w:rsidRDefault="008C46DC" w:rsidP="00C113C7">
            <w:pPr>
              <w:ind w:right="72"/>
              <w:jc w:val="right"/>
              <w:rPr>
                <w:rFonts w:ascii="Calibri" w:hAnsi="Calibri" w:cs="Arial"/>
                <w:b/>
                <w:bCs/>
                <w:noProof/>
              </w:rPr>
            </w:pPr>
          </w:p>
        </w:tc>
        <w:tc>
          <w:tcPr>
            <w:tcW w:w="1484" w:type="dxa"/>
            <w:tcBorders>
              <w:bottom w:val="single" w:sz="4" w:space="0" w:color="auto"/>
            </w:tcBorders>
            <w:vAlign w:val="bottom"/>
          </w:tcPr>
          <w:p w:rsidR="008C46DC" w:rsidRPr="00550FC6" w:rsidRDefault="008C46DC" w:rsidP="00C113C7">
            <w:pPr>
              <w:ind w:right="72"/>
              <w:jc w:val="right"/>
              <w:rPr>
                <w:rFonts w:ascii="Calibri" w:hAnsi="Calibri" w:cs="Arial"/>
                <w:noProof/>
              </w:rPr>
            </w:pPr>
            <w:r w:rsidRPr="00550FC6">
              <w:rPr>
                <w:rFonts w:ascii="Calibri" w:hAnsi="Calibri" w:cs="Arial"/>
                <w:b/>
                <w:bCs/>
                <w:noProof/>
              </w:rPr>
              <w:t>% provizije</w:t>
            </w:r>
          </w:p>
        </w:tc>
      </w:tr>
      <w:tr w:rsidR="008C46DC" w:rsidRPr="00550FC6" w:rsidTr="00C113C7">
        <w:tc>
          <w:tcPr>
            <w:tcW w:w="3261" w:type="dxa"/>
            <w:vAlign w:val="bottom"/>
          </w:tcPr>
          <w:p w:rsidR="008C46DC" w:rsidRPr="00550FC6" w:rsidRDefault="004E476A" w:rsidP="00C113C7">
            <w:pPr>
              <w:rPr>
                <w:rFonts w:ascii="Calibri" w:hAnsi="Calibri" w:cs="Arial"/>
                <w:noProof/>
                <w:lang w:val="bs-Cyrl-BA"/>
              </w:rPr>
            </w:pPr>
            <w:r w:rsidRPr="00550FC6">
              <w:rPr>
                <w:rFonts w:ascii="Calibri" w:hAnsi="Calibri" w:cs="Arial"/>
                <w:noProof/>
                <w:lang w:val="sr-Latn-BA"/>
              </w:rPr>
              <w:t xml:space="preserve">       </w:t>
            </w:r>
            <w:r w:rsidR="008C46DC" w:rsidRPr="00550FC6">
              <w:rPr>
                <w:rFonts w:ascii="Calibri" w:hAnsi="Calibri" w:cs="Arial"/>
                <w:noProof/>
                <w:lang w:val="ru-RU"/>
              </w:rPr>
              <w:t>“Raiffeisen Bank</w:t>
            </w:r>
            <w:r w:rsidR="008C46DC" w:rsidRPr="00550FC6">
              <w:rPr>
                <w:rFonts w:ascii="Calibri" w:hAnsi="Calibri" w:cs="Arial"/>
                <w:noProof/>
                <w:lang w:val="bs-Latn-BA"/>
              </w:rPr>
              <w:t>“</w:t>
            </w:r>
            <w:r w:rsidR="008C46DC" w:rsidRPr="00550FC6">
              <w:rPr>
                <w:rFonts w:ascii="Calibri" w:hAnsi="Calibri" w:cs="Arial"/>
                <w:noProof/>
                <w:lang w:val="bs-Cyrl-BA"/>
              </w:rPr>
              <w:t xml:space="preserve"> d.d. BiH</w:t>
            </w:r>
          </w:p>
        </w:tc>
        <w:tc>
          <w:tcPr>
            <w:tcW w:w="148" w:type="dxa"/>
            <w:vAlign w:val="bottom"/>
          </w:tcPr>
          <w:p w:rsidR="008C46DC" w:rsidRPr="00550FC6" w:rsidRDefault="008C46DC" w:rsidP="00C113C7">
            <w:pPr>
              <w:jc w:val="right"/>
              <w:rPr>
                <w:rFonts w:ascii="Calibri" w:hAnsi="Calibri" w:cs="Arial"/>
                <w:noProof/>
                <w:lang w:val="ru-RU"/>
              </w:rPr>
            </w:pPr>
          </w:p>
        </w:tc>
        <w:tc>
          <w:tcPr>
            <w:tcW w:w="1484" w:type="dxa"/>
            <w:vAlign w:val="bottom"/>
          </w:tcPr>
          <w:p w:rsidR="008C46DC" w:rsidRPr="00550FC6" w:rsidRDefault="00550FC6" w:rsidP="00C113C7">
            <w:pPr>
              <w:ind w:right="72"/>
              <w:jc w:val="right"/>
              <w:rPr>
                <w:rFonts w:ascii="Calibri" w:hAnsi="Calibri" w:cs="Arial"/>
                <w:noProof/>
              </w:rPr>
            </w:pPr>
            <w:r>
              <w:rPr>
                <w:rFonts w:ascii="Calibri" w:hAnsi="Calibri" w:cs="Arial"/>
                <w:noProof/>
              </w:rPr>
              <w:t>6.789,56</w:t>
            </w:r>
          </w:p>
        </w:tc>
        <w:tc>
          <w:tcPr>
            <w:tcW w:w="134" w:type="dxa"/>
            <w:vAlign w:val="bottom"/>
          </w:tcPr>
          <w:p w:rsidR="008C46DC" w:rsidRPr="00550FC6" w:rsidRDefault="008C46DC" w:rsidP="00C113C7">
            <w:pPr>
              <w:ind w:right="72"/>
              <w:jc w:val="right"/>
              <w:rPr>
                <w:rFonts w:ascii="Calibri" w:hAnsi="Calibri" w:cs="Arial"/>
                <w:noProof/>
              </w:rPr>
            </w:pPr>
          </w:p>
        </w:tc>
        <w:tc>
          <w:tcPr>
            <w:tcW w:w="1489" w:type="dxa"/>
            <w:vAlign w:val="bottom"/>
          </w:tcPr>
          <w:p w:rsidR="008C46DC" w:rsidRPr="00550FC6" w:rsidRDefault="00550FC6" w:rsidP="008A4561">
            <w:pPr>
              <w:ind w:right="72"/>
              <w:jc w:val="right"/>
              <w:rPr>
                <w:rFonts w:ascii="Calibri" w:hAnsi="Calibri" w:cs="Arial"/>
                <w:noProof/>
              </w:rPr>
            </w:pPr>
            <w:r>
              <w:rPr>
                <w:rFonts w:ascii="Calibri" w:hAnsi="Calibri" w:cs="Arial"/>
                <w:noProof/>
              </w:rPr>
              <w:t>0,47</w:t>
            </w:r>
          </w:p>
        </w:tc>
        <w:tc>
          <w:tcPr>
            <w:tcW w:w="140" w:type="dxa"/>
            <w:vAlign w:val="bottom"/>
          </w:tcPr>
          <w:p w:rsidR="008C46DC" w:rsidRPr="00550FC6" w:rsidRDefault="008C46DC" w:rsidP="00C113C7">
            <w:pPr>
              <w:ind w:right="72"/>
              <w:jc w:val="right"/>
              <w:rPr>
                <w:rFonts w:ascii="Calibri" w:hAnsi="Calibri" w:cs="Arial"/>
                <w:noProof/>
              </w:rPr>
            </w:pPr>
          </w:p>
        </w:tc>
        <w:tc>
          <w:tcPr>
            <w:tcW w:w="1498" w:type="dxa"/>
            <w:vAlign w:val="bottom"/>
          </w:tcPr>
          <w:p w:rsidR="008C46DC" w:rsidRPr="00550FC6" w:rsidRDefault="00550FC6" w:rsidP="00C113C7">
            <w:pPr>
              <w:ind w:right="72"/>
              <w:jc w:val="right"/>
              <w:rPr>
                <w:rFonts w:ascii="Calibri" w:hAnsi="Calibri" w:cs="Arial"/>
                <w:noProof/>
              </w:rPr>
            </w:pPr>
            <w:r>
              <w:rPr>
                <w:rFonts w:ascii="Calibri" w:hAnsi="Calibri" w:cs="Arial"/>
                <w:noProof/>
              </w:rPr>
              <w:t>50,39</w:t>
            </w:r>
          </w:p>
        </w:tc>
        <w:tc>
          <w:tcPr>
            <w:tcW w:w="140" w:type="dxa"/>
            <w:vAlign w:val="bottom"/>
          </w:tcPr>
          <w:p w:rsidR="008C46DC" w:rsidRPr="00550FC6" w:rsidRDefault="008C46DC" w:rsidP="00C113C7">
            <w:pPr>
              <w:ind w:right="72"/>
              <w:jc w:val="right"/>
              <w:rPr>
                <w:rFonts w:ascii="Calibri" w:hAnsi="Calibri" w:cs="Arial"/>
                <w:noProof/>
              </w:rPr>
            </w:pPr>
          </w:p>
        </w:tc>
        <w:tc>
          <w:tcPr>
            <w:tcW w:w="1484" w:type="dxa"/>
            <w:vAlign w:val="bottom"/>
          </w:tcPr>
          <w:p w:rsidR="008C46DC" w:rsidRPr="00550FC6" w:rsidRDefault="00550FC6" w:rsidP="00C113C7">
            <w:pPr>
              <w:ind w:right="72"/>
              <w:jc w:val="right"/>
              <w:rPr>
                <w:rFonts w:ascii="Calibri" w:hAnsi="Calibri" w:cs="Arial"/>
                <w:noProof/>
              </w:rPr>
            </w:pPr>
            <w:r>
              <w:rPr>
                <w:rFonts w:ascii="Calibri" w:hAnsi="Calibri" w:cs="Arial"/>
                <w:noProof/>
              </w:rPr>
              <w:t>0,74</w:t>
            </w:r>
          </w:p>
        </w:tc>
      </w:tr>
      <w:tr w:rsidR="00A636D5" w:rsidRPr="00550FC6" w:rsidTr="00C113C7">
        <w:tc>
          <w:tcPr>
            <w:tcW w:w="3261" w:type="dxa"/>
            <w:vAlign w:val="bottom"/>
          </w:tcPr>
          <w:p w:rsidR="00A636D5" w:rsidRPr="00550FC6" w:rsidRDefault="004E476A" w:rsidP="00C113C7">
            <w:pPr>
              <w:rPr>
                <w:rFonts w:ascii="Calibri" w:hAnsi="Calibri" w:cs="Arial"/>
                <w:noProof/>
                <w:lang w:val="sr-Latn-BA"/>
              </w:rPr>
            </w:pPr>
            <w:r w:rsidRPr="00550FC6">
              <w:rPr>
                <w:rFonts w:ascii="Calibri" w:hAnsi="Calibri" w:cs="Arial"/>
                <w:noProof/>
                <w:lang w:val="sr-Latn-BA"/>
              </w:rPr>
              <w:t xml:space="preserve">      </w:t>
            </w:r>
            <w:r w:rsidR="00A636D5" w:rsidRPr="00550FC6">
              <w:rPr>
                <w:rFonts w:ascii="Calibri" w:hAnsi="Calibri" w:cs="Arial"/>
                <w:noProof/>
                <w:lang w:val="sr-Latn-BA"/>
              </w:rPr>
              <w:t>„Ra</w:t>
            </w:r>
            <w:r w:rsidRPr="00550FC6">
              <w:rPr>
                <w:rFonts w:ascii="Calibri" w:hAnsi="Calibri" w:cs="Arial"/>
                <w:noProof/>
                <w:lang w:val="sr-Latn-BA"/>
              </w:rPr>
              <w:t>iffeisen capital“ ad,    B.L.</w:t>
            </w:r>
            <w:r w:rsidR="00A636D5" w:rsidRPr="00550FC6">
              <w:rPr>
                <w:rFonts w:ascii="Calibri" w:hAnsi="Calibri" w:cs="Arial"/>
                <w:noProof/>
                <w:lang w:val="sr-Latn-BA"/>
              </w:rPr>
              <w:t xml:space="preserve"> </w:t>
            </w:r>
          </w:p>
        </w:tc>
        <w:tc>
          <w:tcPr>
            <w:tcW w:w="148" w:type="dxa"/>
            <w:vAlign w:val="bottom"/>
          </w:tcPr>
          <w:p w:rsidR="00A636D5" w:rsidRPr="00550FC6" w:rsidRDefault="00A636D5" w:rsidP="00C113C7">
            <w:pPr>
              <w:jc w:val="right"/>
              <w:rPr>
                <w:rFonts w:ascii="Calibri" w:hAnsi="Calibri" w:cs="Arial"/>
                <w:noProof/>
                <w:lang w:val="ru-RU"/>
              </w:rPr>
            </w:pPr>
          </w:p>
        </w:tc>
        <w:tc>
          <w:tcPr>
            <w:tcW w:w="1484" w:type="dxa"/>
            <w:vAlign w:val="bottom"/>
          </w:tcPr>
          <w:p w:rsidR="00A636D5" w:rsidRPr="00550FC6" w:rsidRDefault="00550FC6" w:rsidP="00550FC6">
            <w:pPr>
              <w:ind w:right="72"/>
              <w:jc w:val="right"/>
              <w:rPr>
                <w:rFonts w:ascii="Calibri" w:hAnsi="Calibri" w:cs="Arial"/>
                <w:noProof/>
              </w:rPr>
            </w:pPr>
            <w:r>
              <w:rPr>
                <w:rFonts w:ascii="Calibri" w:hAnsi="Calibri" w:cs="Arial"/>
                <w:noProof/>
              </w:rPr>
              <w:t>1.431.775,30</w:t>
            </w:r>
          </w:p>
        </w:tc>
        <w:tc>
          <w:tcPr>
            <w:tcW w:w="134" w:type="dxa"/>
            <w:vAlign w:val="bottom"/>
          </w:tcPr>
          <w:p w:rsidR="00A636D5" w:rsidRPr="00550FC6" w:rsidRDefault="00A636D5" w:rsidP="00C113C7">
            <w:pPr>
              <w:ind w:right="72"/>
              <w:jc w:val="right"/>
              <w:rPr>
                <w:rFonts w:ascii="Calibri" w:hAnsi="Calibri" w:cs="Arial"/>
                <w:noProof/>
              </w:rPr>
            </w:pPr>
          </w:p>
        </w:tc>
        <w:tc>
          <w:tcPr>
            <w:tcW w:w="1489" w:type="dxa"/>
            <w:vAlign w:val="bottom"/>
          </w:tcPr>
          <w:p w:rsidR="00A636D5" w:rsidRPr="00550FC6" w:rsidRDefault="00550FC6" w:rsidP="008A4561">
            <w:pPr>
              <w:ind w:right="72"/>
              <w:jc w:val="right"/>
              <w:rPr>
                <w:rFonts w:ascii="Calibri" w:hAnsi="Calibri" w:cs="Arial"/>
                <w:noProof/>
              </w:rPr>
            </w:pPr>
            <w:r>
              <w:rPr>
                <w:rFonts w:ascii="Calibri" w:hAnsi="Calibri" w:cs="Arial"/>
                <w:noProof/>
              </w:rPr>
              <w:t>99,53</w:t>
            </w:r>
          </w:p>
        </w:tc>
        <w:tc>
          <w:tcPr>
            <w:tcW w:w="140" w:type="dxa"/>
            <w:vAlign w:val="bottom"/>
          </w:tcPr>
          <w:p w:rsidR="00A636D5" w:rsidRPr="00550FC6" w:rsidRDefault="00A636D5" w:rsidP="00C113C7">
            <w:pPr>
              <w:ind w:right="72"/>
              <w:jc w:val="right"/>
              <w:rPr>
                <w:rFonts w:ascii="Calibri" w:hAnsi="Calibri" w:cs="Arial"/>
                <w:noProof/>
              </w:rPr>
            </w:pPr>
          </w:p>
        </w:tc>
        <w:tc>
          <w:tcPr>
            <w:tcW w:w="1498" w:type="dxa"/>
            <w:vAlign w:val="bottom"/>
          </w:tcPr>
          <w:p w:rsidR="00A636D5" w:rsidRPr="00550FC6" w:rsidRDefault="00550FC6" w:rsidP="00C113C7">
            <w:pPr>
              <w:ind w:right="72"/>
              <w:jc w:val="right"/>
              <w:rPr>
                <w:rFonts w:ascii="Calibri" w:hAnsi="Calibri" w:cs="Arial"/>
                <w:noProof/>
              </w:rPr>
            </w:pPr>
            <w:r>
              <w:rPr>
                <w:rFonts w:ascii="Calibri" w:hAnsi="Calibri" w:cs="Arial"/>
                <w:noProof/>
              </w:rPr>
              <w:t>4.373,45</w:t>
            </w:r>
          </w:p>
        </w:tc>
        <w:tc>
          <w:tcPr>
            <w:tcW w:w="140" w:type="dxa"/>
            <w:vAlign w:val="bottom"/>
          </w:tcPr>
          <w:p w:rsidR="00A636D5" w:rsidRPr="00550FC6" w:rsidRDefault="00A636D5" w:rsidP="00C113C7">
            <w:pPr>
              <w:ind w:right="72"/>
              <w:jc w:val="right"/>
              <w:rPr>
                <w:rFonts w:ascii="Calibri" w:hAnsi="Calibri" w:cs="Arial"/>
                <w:noProof/>
              </w:rPr>
            </w:pPr>
          </w:p>
        </w:tc>
        <w:tc>
          <w:tcPr>
            <w:tcW w:w="1484" w:type="dxa"/>
            <w:vAlign w:val="bottom"/>
          </w:tcPr>
          <w:p w:rsidR="00A636D5" w:rsidRPr="00550FC6" w:rsidRDefault="00550FC6" w:rsidP="00C113C7">
            <w:pPr>
              <w:ind w:right="72"/>
              <w:jc w:val="right"/>
              <w:rPr>
                <w:rFonts w:ascii="Calibri" w:hAnsi="Calibri" w:cs="Arial"/>
                <w:noProof/>
              </w:rPr>
            </w:pPr>
            <w:r>
              <w:rPr>
                <w:rFonts w:ascii="Calibri" w:hAnsi="Calibri" w:cs="Arial"/>
                <w:noProof/>
              </w:rPr>
              <w:t>0,31</w:t>
            </w:r>
          </w:p>
        </w:tc>
      </w:tr>
      <w:tr w:rsidR="008C46DC" w:rsidRPr="00550FC6" w:rsidTr="00C113C7">
        <w:tc>
          <w:tcPr>
            <w:tcW w:w="3261" w:type="dxa"/>
            <w:vAlign w:val="bottom"/>
          </w:tcPr>
          <w:p w:rsidR="008C46DC" w:rsidRPr="00550FC6" w:rsidRDefault="008C46DC" w:rsidP="00C113C7">
            <w:pPr>
              <w:rPr>
                <w:rFonts w:ascii="Calibri" w:hAnsi="Calibri" w:cs="Arial"/>
                <w:b/>
                <w:noProof/>
              </w:rPr>
            </w:pPr>
          </w:p>
          <w:p w:rsidR="008C46DC" w:rsidRPr="00550FC6" w:rsidRDefault="008C46DC" w:rsidP="00C113C7">
            <w:pPr>
              <w:rPr>
                <w:rFonts w:ascii="Calibri" w:hAnsi="Calibri" w:cs="Arial"/>
                <w:b/>
                <w:noProof/>
              </w:rPr>
            </w:pPr>
          </w:p>
        </w:tc>
        <w:tc>
          <w:tcPr>
            <w:tcW w:w="148" w:type="dxa"/>
            <w:vAlign w:val="bottom"/>
          </w:tcPr>
          <w:p w:rsidR="008C46DC" w:rsidRPr="00550FC6" w:rsidRDefault="008C46DC" w:rsidP="00C113C7">
            <w:pPr>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550FC6" w:rsidRDefault="00550FC6" w:rsidP="00C113C7">
            <w:pPr>
              <w:ind w:right="72"/>
              <w:jc w:val="right"/>
              <w:rPr>
                <w:rFonts w:ascii="Calibri" w:hAnsi="Calibri" w:cs="Arial"/>
                <w:b/>
                <w:noProof/>
              </w:rPr>
            </w:pPr>
            <w:r>
              <w:rPr>
                <w:rFonts w:ascii="Calibri" w:hAnsi="Calibri" w:cs="Arial"/>
                <w:b/>
                <w:noProof/>
              </w:rPr>
              <w:t>1.438.564,86</w:t>
            </w:r>
          </w:p>
        </w:tc>
        <w:tc>
          <w:tcPr>
            <w:tcW w:w="134" w:type="dxa"/>
            <w:vAlign w:val="bottom"/>
          </w:tcPr>
          <w:p w:rsidR="008C46DC" w:rsidRPr="00550FC6" w:rsidRDefault="008C46DC" w:rsidP="00C113C7">
            <w:pPr>
              <w:ind w:right="72"/>
              <w:jc w:val="right"/>
              <w:rPr>
                <w:rFonts w:ascii="Calibri" w:hAnsi="Calibri" w:cs="Arial"/>
                <w:b/>
                <w:noProof/>
              </w:rPr>
            </w:pPr>
          </w:p>
        </w:tc>
        <w:tc>
          <w:tcPr>
            <w:tcW w:w="1489" w:type="dxa"/>
            <w:tcBorders>
              <w:top w:val="single" w:sz="4" w:space="0" w:color="auto"/>
              <w:bottom w:val="double" w:sz="6"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100.0000</w:t>
            </w:r>
          </w:p>
        </w:tc>
        <w:tc>
          <w:tcPr>
            <w:tcW w:w="140" w:type="dxa"/>
            <w:vAlign w:val="bottom"/>
          </w:tcPr>
          <w:p w:rsidR="008C46DC" w:rsidRPr="00550FC6" w:rsidRDefault="008C46DC" w:rsidP="00C113C7">
            <w:pPr>
              <w:ind w:right="72"/>
              <w:jc w:val="right"/>
              <w:rPr>
                <w:rFonts w:ascii="Calibri" w:hAnsi="Calibri" w:cs="Arial"/>
                <w:b/>
                <w:noProof/>
              </w:rPr>
            </w:pPr>
          </w:p>
        </w:tc>
        <w:tc>
          <w:tcPr>
            <w:tcW w:w="1498" w:type="dxa"/>
            <w:tcBorders>
              <w:top w:val="single" w:sz="4" w:space="0" w:color="auto"/>
              <w:bottom w:val="double" w:sz="6" w:space="0" w:color="auto"/>
            </w:tcBorders>
            <w:vAlign w:val="bottom"/>
          </w:tcPr>
          <w:p w:rsidR="008C46DC" w:rsidRPr="00550FC6" w:rsidRDefault="00550FC6" w:rsidP="00C113C7">
            <w:pPr>
              <w:ind w:right="72"/>
              <w:jc w:val="right"/>
              <w:rPr>
                <w:rFonts w:ascii="Calibri" w:hAnsi="Calibri" w:cs="Arial"/>
                <w:b/>
                <w:noProof/>
              </w:rPr>
            </w:pPr>
            <w:r>
              <w:rPr>
                <w:rFonts w:ascii="Calibri" w:hAnsi="Calibri" w:cs="Arial"/>
                <w:b/>
                <w:noProof/>
              </w:rPr>
              <w:t>4.423,84</w:t>
            </w:r>
          </w:p>
        </w:tc>
        <w:tc>
          <w:tcPr>
            <w:tcW w:w="140" w:type="dxa"/>
            <w:vAlign w:val="bottom"/>
          </w:tcPr>
          <w:p w:rsidR="008C46DC" w:rsidRPr="00550FC6" w:rsidRDefault="008C46DC" w:rsidP="00C113C7">
            <w:pPr>
              <w:ind w:right="72"/>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w:t>
            </w:r>
          </w:p>
        </w:tc>
      </w:tr>
    </w:tbl>
    <w:p w:rsidR="008C46DC" w:rsidRPr="00870C0F" w:rsidRDefault="008C46DC" w:rsidP="008C46DC">
      <w:pPr>
        <w:rPr>
          <w:rFonts w:ascii="Calibri" w:hAnsi="Calibri" w:cs="Arial"/>
          <w:noProof/>
          <w:highlight w:val="lightGray"/>
        </w:rPr>
      </w:pPr>
    </w:p>
    <w:p w:rsidR="008C46DC" w:rsidRPr="00550FC6" w:rsidRDefault="008C46DC" w:rsidP="0002568E">
      <w:pPr>
        <w:widowControl w:val="0"/>
        <w:autoSpaceDE w:val="0"/>
        <w:autoSpaceDN w:val="0"/>
        <w:adjustRightInd w:val="0"/>
        <w:jc w:val="both"/>
        <w:rPr>
          <w:rFonts w:ascii="Calibri" w:hAnsi="Calibri" w:cs="Arial"/>
          <w:b/>
          <w:i/>
          <w:noProof/>
          <w:lang w:val="ru-RU"/>
        </w:rPr>
      </w:pPr>
      <w:r w:rsidRPr="00550FC6">
        <w:rPr>
          <w:rFonts w:ascii="Calibri" w:hAnsi="Calibri" w:cs="Arial"/>
          <w:b/>
          <w:i/>
          <w:noProof/>
          <w:lang w:val="ru-RU"/>
        </w:rPr>
        <w:t>Pregled najviše i najniže cijene po akciji u predhodne tri godine</w:t>
      </w:r>
    </w:p>
    <w:p w:rsidR="008C46DC" w:rsidRPr="00550FC6" w:rsidRDefault="008C46DC" w:rsidP="008C46DC">
      <w:pPr>
        <w:rPr>
          <w:rFonts w:ascii="Calibri" w:hAnsi="Calibri" w:cs="Arial"/>
          <w:noProof/>
          <w:lang w:val="ru-RU"/>
        </w:rPr>
      </w:pPr>
    </w:p>
    <w:tbl>
      <w:tblPr>
        <w:tblW w:w="9781" w:type="dxa"/>
        <w:tblInd w:w="-459" w:type="dxa"/>
        <w:tblLayout w:type="fixed"/>
        <w:tblLook w:val="0000"/>
      </w:tblPr>
      <w:tblGrid>
        <w:gridCol w:w="3261"/>
        <w:gridCol w:w="236"/>
        <w:gridCol w:w="3019"/>
        <w:gridCol w:w="236"/>
        <w:gridCol w:w="3029"/>
      </w:tblGrid>
      <w:tr w:rsidR="008C46DC" w:rsidRPr="00550FC6" w:rsidTr="00C113C7">
        <w:tc>
          <w:tcPr>
            <w:tcW w:w="3261" w:type="dxa"/>
            <w:tcBorders>
              <w:bottom w:val="single" w:sz="4" w:space="0" w:color="auto"/>
            </w:tcBorders>
            <w:vAlign w:val="bottom"/>
          </w:tcPr>
          <w:p w:rsidR="008C46DC" w:rsidRPr="00550FC6" w:rsidRDefault="008C46DC" w:rsidP="00C113C7">
            <w:pPr>
              <w:jc w:val="center"/>
              <w:rPr>
                <w:rFonts w:ascii="Calibri" w:hAnsi="Calibri" w:cs="Arial"/>
                <w:b/>
                <w:noProof/>
              </w:rPr>
            </w:pPr>
            <w:r w:rsidRPr="00550FC6">
              <w:rPr>
                <w:rFonts w:ascii="Calibri" w:hAnsi="Calibri" w:cs="Arial"/>
                <w:b/>
                <w:noProof/>
              </w:rPr>
              <w:t>Godina</w:t>
            </w:r>
          </w:p>
        </w:tc>
        <w:tc>
          <w:tcPr>
            <w:tcW w:w="236" w:type="dxa"/>
          </w:tcPr>
          <w:p w:rsidR="008C46DC" w:rsidRPr="00550FC6" w:rsidRDefault="008C46DC" w:rsidP="00C113C7">
            <w:pPr>
              <w:jc w:val="center"/>
              <w:rPr>
                <w:rFonts w:ascii="Calibri" w:hAnsi="Calibri" w:cs="Arial"/>
                <w:b/>
                <w:noProof/>
              </w:rPr>
            </w:pPr>
          </w:p>
        </w:tc>
        <w:tc>
          <w:tcPr>
            <w:tcW w:w="3019" w:type="dxa"/>
            <w:tcBorders>
              <w:bottom w:val="single" w:sz="4"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Najviša cijena po akciji</w:t>
            </w:r>
          </w:p>
        </w:tc>
        <w:tc>
          <w:tcPr>
            <w:tcW w:w="236" w:type="dxa"/>
            <w:vAlign w:val="bottom"/>
          </w:tcPr>
          <w:p w:rsidR="008C46DC" w:rsidRPr="00550FC6" w:rsidRDefault="008C46DC" w:rsidP="00C113C7">
            <w:pPr>
              <w:ind w:right="72"/>
              <w:jc w:val="right"/>
              <w:rPr>
                <w:rFonts w:ascii="Calibri" w:hAnsi="Calibri" w:cs="Arial"/>
                <w:b/>
                <w:noProof/>
              </w:rPr>
            </w:pPr>
          </w:p>
        </w:tc>
        <w:tc>
          <w:tcPr>
            <w:tcW w:w="3029" w:type="dxa"/>
            <w:tcBorders>
              <w:bottom w:val="single" w:sz="4"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Najniža cijene po akciji</w:t>
            </w:r>
          </w:p>
        </w:tc>
      </w:tr>
      <w:tr w:rsidR="008C46DC" w:rsidRPr="00550FC6" w:rsidTr="00C113C7">
        <w:tc>
          <w:tcPr>
            <w:tcW w:w="3261" w:type="dxa"/>
            <w:vAlign w:val="bottom"/>
          </w:tcPr>
          <w:p w:rsidR="008C46DC" w:rsidRDefault="008C46DC" w:rsidP="00C113C7">
            <w:pPr>
              <w:jc w:val="center"/>
              <w:rPr>
                <w:rFonts w:ascii="Calibri" w:hAnsi="Calibri" w:cs="Arial"/>
                <w:noProof/>
              </w:rPr>
            </w:pPr>
          </w:p>
          <w:p w:rsidR="00550FC6" w:rsidRPr="00550FC6" w:rsidRDefault="007D03AB" w:rsidP="00C113C7">
            <w:pPr>
              <w:jc w:val="center"/>
              <w:rPr>
                <w:rFonts w:ascii="Calibri" w:hAnsi="Calibri" w:cs="Arial"/>
                <w:noProof/>
              </w:rPr>
            </w:pPr>
            <w:r>
              <w:rPr>
                <w:rFonts w:ascii="Calibri" w:hAnsi="Calibri" w:cs="Arial"/>
                <w:noProof/>
              </w:rPr>
              <w:t>2018.</w:t>
            </w:r>
          </w:p>
        </w:tc>
        <w:tc>
          <w:tcPr>
            <w:tcW w:w="236" w:type="dxa"/>
          </w:tcPr>
          <w:p w:rsidR="008C46DC" w:rsidRPr="00550FC6" w:rsidRDefault="008C46DC" w:rsidP="00C113C7">
            <w:pPr>
              <w:jc w:val="center"/>
              <w:rPr>
                <w:rFonts w:ascii="Calibri" w:hAnsi="Calibri" w:cs="Arial"/>
                <w:noProof/>
              </w:rPr>
            </w:pPr>
          </w:p>
        </w:tc>
        <w:tc>
          <w:tcPr>
            <w:tcW w:w="3019" w:type="dxa"/>
            <w:vAlign w:val="bottom"/>
          </w:tcPr>
          <w:p w:rsidR="008C46DC" w:rsidRPr="00550FC6" w:rsidRDefault="004B678C" w:rsidP="00C113C7">
            <w:pPr>
              <w:ind w:right="72"/>
              <w:jc w:val="right"/>
              <w:rPr>
                <w:rFonts w:ascii="Calibri" w:hAnsi="Calibri" w:cs="Arial"/>
                <w:noProof/>
              </w:rPr>
            </w:pPr>
            <w:r>
              <w:rPr>
                <w:rFonts w:ascii="Calibri" w:hAnsi="Calibri" w:cs="Arial"/>
                <w:noProof/>
              </w:rPr>
              <w:t>5,05</w:t>
            </w:r>
          </w:p>
        </w:tc>
        <w:tc>
          <w:tcPr>
            <w:tcW w:w="236" w:type="dxa"/>
            <w:vAlign w:val="bottom"/>
          </w:tcPr>
          <w:p w:rsidR="008C46DC" w:rsidRPr="00550FC6" w:rsidRDefault="008C46DC" w:rsidP="00C113C7">
            <w:pPr>
              <w:ind w:right="72"/>
              <w:jc w:val="right"/>
              <w:rPr>
                <w:rFonts w:ascii="Calibri" w:hAnsi="Calibri" w:cs="Arial"/>
                <w:noProof/>
              </w:rPr>
            </w:pPr>
          </w:p>
        </w:tc>
        <w:tc>
          <w:tcPr>
            <w:tcW w:w="3029" w:type="dxa"/>
            <w:vAlign w:val="bottom"/>
          </w:tcPr>
          <w:p w:rsidR="008C46DC" w:rsidRDefault="008C46DC" w:rsidP="00C113C7">
            <w:pPr>
              <w:ind w:right="72"/>
              <w:jc w:val="right"/>
              <w:rPr>
                <w:rFonts w:ascii="Calibri" w:hAnsi="Calibri" w:cs="Arial"/>
                <w:noProof/>
              </w:rPr>
            </w:pPr>
          </w:p>
          <w:p w:rsidR="00550FC6" w:rsidRPr="00550FC6" w:rsidRDefault="004B678C" w:rsidP="00C113C7">
            <w:pPr>
              <w:ind w:right="72"/>
              <w:jc w:val="right"/>
              <w:rPr>
                <w:rFonts w:ascii="Calibri" w:hAnsi="Calibri" w:cs="Arial"/>
                <w:noProof/>
              </w:rPr>
            </w:pPr>
            <w:r>
              <w:rPr>
                <w:rFonts w:ascii="Calibri" w:hAnsi="Calibri" w:cs="Arial"/>
                <w:noProof/>
              </w:rPr>
              <w:t>3</w:t>
            </w:r>
            <w:r w:rsidR="007D03AB">
              <w:rPr>
                <w:rFonts w:ascii="Calibri" w:hAnsi="Calibri" w:cs="Arial"/>
                <w:noProof/>
              </w:rPr>
              <w:t>,11</w:t>
            </w:r>
          </w:p>
        </w:tc>
      </w:tr>
      <w:tr w:rsidR="008C46DC" w:rsidRPr="00550FC6" w:rsidTr="00C113C7">
        <w:tc>
          <w:tcPr>
            <w:tcW w:w="3261" w:type="dxa"/>
            <w:vAlign w:val="bottom"/>
          </w:tcPr>
          <w:p w:rsidR="008C46DC" w:rsidRPr="00550FC6" w:rsidRDefault="008C46DC" w:rsidP="00C113C7">
            <w:pPr>
              <w:jc w:val="center"/>
              <w:rPr>
                <w:rFonts w:ascii="Calibri" w:hAnsi="Calibri" w:cs="Arial"/>
                <w:noProof/>
              </w:rPr>
            </w:pPr>
            <w:r w:rsidRPr="00550FC6">
              <w:rPr>
                <w:rFonts w:ascii="Calibri" w:hAnsi="Calibri" w:cs="Arial"/>
                <w:noProof/>
              </w:rPr>
              <w:t>201</w:t>
            </w:r>
            <w:r w:rsidR="00F15C8C" w:rsidRPr="00550FC6">
              <w:rPr>
                <w:rFonts w:ascii="Calibri" w:hAnsi="Calibri" w:cs="Arial"/>
                <w:noProof/>
              </w:rPr>
              <w:t>7</w:t>
            </w:r>
            <w:r w:rsidRPr="00550FC6">
              <w:rPr>
                <w:rFonts w:ascii="Calibri" w:hAnsi="Calibri" w:cs="Arial"/>
                <w:noProof/>
              </w:rPr>
              <w:t>.</w:t>
            </w:r>
          </w:p>
        </w:tc>
        <w:tc>
          <w:tcPr>
            <w:tcW w:w="236" w:type="dxa"/>
          </w:tcPr>
          <w:p w:rsidR="008C46DC" w:rsidRPr="00550FC6" w:rsidRDefault="008C46DC" w:rsidP="00C113C7">
            <w:pPr>
              <w:jc w:val="center"/>
              <w:rPr>
                <w:rFonts w:ascii="Calibri" w:hAnsi="Calibri" w:cs="Arial"/>
                <w:noProof/>
              </w:rPr>
            </w:pPr>
          </w:p>
        </w:tc>
        <w:tc>
          <w:tcPr>
            <w:tcW w:w="3019" w:type="dxa"/>
            <w:vAlign w:val="bottom"/>
          </w:tcPr>
          <w:p w:rsidR="008C46DC" w:rsidRPr="00550FC6" w:rsidRDefault="00A636D5" w:rsidP="00C113C7">
            <w:pPr>
              <w:ind w:right="72"/>
              <w:jc w:val="right"/>
              <w:rPr>
                <w:rFonts w:ascii="Calibri" w:hAnsi="Calibri" w:cs="Arial"/>
                <w:noProof/>
              </w:rPr>
            </w:pPr>
            <w:r w:rsidRPr="00550FC6">
              <w:rPr>
                <w:rFonts w:ascii="Calibri" w:hAnsi="Calibri" w:cs="Arial"/>
                <w:noProof/>
              </w:rPr>
              <w:t>3,75</w:t>
            </w:r>
          </w:p>
        </w:tc>
        <w:tc>
          <w:tcPr>
            <w:tcW w:w="236" w:type="dxa"/>
            <w:vAlign w:val="bottom"/>
          </w:tcPr>
          <w:p w:rsidR="008C46DC" w:rsidRPr="00550FC6" w:rsidRDefault="008C46DC" w:rsidP="00C113C7">
            <w:pPr>
              <w:ind w:right="72"/>
              <w:jc w:val="right"/>
              <w:rPr>
                <w:rFonts w:ascii="Calibri" w:hAnsi="Calibri" w:cs="Arial"/>
                <w:noProof/>
              </w:rPr>
            </w:pPr>
          </w:p>
        </w:tc>
        <w:tc>
          <w:tcPr>
            <w:tcW w:w="3029" w:type="dxa"/>
            <w:vAlign w:val="bottom"/>
          </w:tcPr>
          <w:p w:rsidR="008C46DC" w:rsidRPr="00550FC6" w:rsidRDefault="00A636D5" w:rsidP="00C113C7">
            <w:pPr>
              <w:ind w:right="72"/>
              <w:jc w:val="right"/>
              <w:rPr>
                <w:rFonts w:ascii="Calibri" w:hAnsi="Calibri" w:cs="Arial"/>
                <w:noProof/>
              </w:rPr>
            </w:pPr>
            <w:r w:rsidRPr="00550FC6">
              <w:rPr>
                <w:rFonts w:ascii="Calibri" w:hAnsi="Calibri" w:cs="Arial"/>
                <w:noProof/>
              </w:rPr>
              <w:t>3,05</w:t>
            </w:r>
          </w:p>
        </w:tc>
      </w:tr>
      <w:tr w:rsidR="008C46DC" w:rsidRPr="00550FC6" w:rsidTr="00C113C7">
        <w:tc>
          <w:tcPr>
            <w:tcW w:w="3261" w:type="dxa"/>
            <w:vAlign w:val="bottom"/>
          </w:tcPr>
          <w:p w:rsidR="008C46DC" w:rsidRPr="00550FC6" w:rsidRDefault="008C46DC" w:rsidP="00C113C7">
            <w:pPr>
              <w:jc w:val="center"/>
              <w:rPr>
                <w:rFonts w:ascii="Calibri" w:hAnsi="Calibri" w:cs="Arial"/>
                <w:noProof/>
              </w:rPr>
            </w:pPr>
            <w:r w:rsidRPr="00550FC6">
              <w:rPr>
                <w:rFonts w:ascii="Calibri" w:hAnsi="Calibri" w:cs="Arial"/>
                <w:noProof/>
              </w:rPr>
              <w:t>201</w:t>
            </w:r>
            <w:r w:rsidR="00F15C8C" w:rsidRPr="00550FC6">
              <w:rPr>
                <w:rFonts w:ascii="Calibri" w:hAnsi="Calibri" w:cs="Arial"/>
                <w:noProof/>
              </w:rPr>
              <w:t>6</w:t>
            </w:r>
            <w:r w:rsidRPr="00550FC6">
              <w:rPr>
                <w:rFonts w:ascii="Calibri" w:hAnsi="Calibri" w:cs="Arial"/>
                <w:noProof/>
              </w:rPr>
              <w:t>.</w:t>
            </w:r>
          </w:p>
        </w:tc>
        <w:tc>
          <w:tcPr>
            <w:tcW w:w="236" w:type="dxa"/>
          </w:tcPr>
          <w:p w:rsidR="008C46DC" w:rsidRPr="00550FC6" w:rsidRDefault="008C46DC" w:rsidP="00C113C7">
            <w:pPr>
              <w:jc w:val="center"/>
              <w:rPr>
                <w:rFonts w:ascii="Calibri" w:hAnsi="Calibri" w:cs="Arial"/>
                <w:noProof/>
              </w:rPr>
            </w:pPr>
          </w:p>
        </w:tc>
        <w:tc>
          <w:tcPr>
            <w:tcW w:w="3019" w:type="dxa"/>
            <w:vAlign w:val="bottom"/>
          </w:tcPr>
          <w:p w:rsidR="00F15C8C" w:rsidRPr="00550FC6" w:rsidRDefault="00F15C8C" w:rsidP="00F15C8C">
            <w:pPr>
              <w:ind w:right="72"/>
              <w:jc w:val="right"/>
              <w:rPr>
                <w:rFonts w:ascii="Calibri" w:hAnsi="Calibri" w:cs="Arial"/>
                <w:noProof/>
              </w:rPr>
            </w:pPr>
            <w:r w:rsidRPr="00550FC6">
              <w:rPr>
                <w:rFonts w:ascii="Calibri" w:hAnsi="Calibri" w:cs="Arial"/>
                <w:noProof/>
              </w:rPr>
              <w:t>0</w:t>
            </w:r>
          </w:p>
        </w:tc>
        <w:tc>
          <w:tcPr>
            <w:tcW w:w="236" w:type="dxa"/>
            <w:vAlign w:val="bottom"/>
          </w:tcPr>
          <w:p w:rsidR="008C46DC" w:rsidRPr="00550FC6" w:rsidRDefault="008C46DC" w:rsidP="00C113C7">
            <w:pPr>
              <w:ind w:right="72"/>
              <w:jc w:val="right"/>
              <w:rPr>
                <w:rFonts w:ascii="Calibri" w:hAnsi="Calibri" w:cs="Arial"/>
                <w:noProof/>
              </w:rPr>
            </w:pPr>
          </w:p>
        </w:tc>
        <w:tc>
          <w:tcPr>
            <w:tcW w:w="3029" w:type="dxa"/>
            <w:vAlign w:val="bottom"/>
          </w:tcPr>
          <w:p w:rsidR="008C46DC" w:rsidRPr="00550FC6" w:rsidRDefault="00F15C8C" w:rsidP="00C113C7">
            <w:pPr>
              <w:ind w:right="72"/>
              <w:jc w:val="right"/>
              <w:rPr>
                <w:rFonts w:ascii="Calibri" w:hAnsi="Calibri" w:cs="Arial"/>
                <w:noProof/>
              </w:rPr>
            </w:pPr>
            <w:r w:rsidRPr="00550FC6">
              <w:rPr>
                <w:rFonts w:ascii="Calibri" w:hAnsi="Calibri" w:cs="Arial"/>
                <w:noProof/>
              </w:rPr>
              <w:t>0</w:t>
            </w:r>
          </w:p>
        </w:tc>
      </w:tr>
    </w:tbl>
    <w:p w:rsidR="004E476A" w:rsidRPr="00870C0F" w:rsidRDefault="004E476A" w:rsidP="008C46DC">
      <w:pPr>
        <w:rPr>
          <w:rFonts w:ascii="Calibri" w:hAnsi="Calibri" w:cs="Arial"/>
          <w:noProof/>
          <w:highlight w:val="lightGray"/>
        </w:rPr>
      </w:pPr>
    </w:p>
    <w:p w:rsidR="004E476A" w:rsidRPr="00870C0F" w:rsidRDefault="004E476A" w:rsidP="008C46DC">
      <w:pPr>
        <w:rPr>
          <w:rFonts w:ascii="Calibri" w:hAnsi="Calibri" w:cs="Arial"/>
          <w:noProof/>
          <w:highlight w:val="lightGray"/>
        </w:rPr>
      </w:pPr>
    </w:p>
    <w:p w:rsidR="008C46DC" w:rsidRPr="007D03AB" w:rsidRDefault="008C46DC" w:rsidP="0002568E">
      <w:pPr>
        <w:widowControl w:val="0"/>
        <w:autoSpaceDE w:val="0"/>
        <w:autoSpaceDN w:val="0"/>
        <w:adjustRightInd w:val="0"/>
        <w:jc w:val="both"/>
        <w:rPr>
          <w:rFonts w:ascii="Calibri" w:hAnsi="Calibri" w:cs="Arial"/>
          <w:b/>
          <w:i/>
          <w:noProof/>
          <w:lang w:val="ru-RU"/>
        </w:rPr>
      </w:pPr>
      <w:r w:rsidRPr="007D03AB">
        <w:rPr>
          <w:rFonts w:ascii="Calibri" w:hAnsi="Calibri" w:cs="Arial"/>
          <w:b/>
          <w:i/>
          <w:noProof/>
          <w:lang w:val="ru-RU"/>
        </w:rPr>
        <w:t>Pregled najviše i najniže vrijednosti imovine fonda i cijene po akciji za isti obračunski period u proteklih pet godina:</w:t>
      </w:r>
    </w:p>
    <w:p w:rsidR="008C46DC" w:rsidRPr="007D03AB" w:rsidRDefault="008C46DC" w:rsidP="008C46DC">
      <w:pPr>
        <w:ind w:left="-142"/>
        <w:rPr>
          <w:rFonts w:ascii="Calibri" w:hAnsi="Calibri" w:cs="Arial"/>
          <w:b/>
          <w:i/>
          <w:noProof/>
          <w:lang w:val="ru-RU"/>
        </w:rPr>
      </w:pPr>
    </w:p>
    <w:tbl>
      <w:tblPr>
        <w:tblW w:w="9781" w:type="dxa"/>
        <w:tblInd w:w="-510" w:type="dxa"/>
        <w:tblLayout w:type="fixed"/>
        <w:tblCellMar>
          <w:left w:w="57" w:type="dxa"/>
          <w:right w:w="57" w:type="dxa"/>
        </w:tblCellMar>
        <w:tblLook w:val="0000"/>
      </w:tblPr>
      <w:tblGrid>
        <w:gridCol w:w="3275"/>
        <w:gridCol w:w="134"/>
        <w:gridCol w:w="1476"/>
        <w:gridCol w:w="134"/>
        <w:gridCol w:w="1497"/>
        <w:gridCol w:w="140"/>
        <w:gridCol w:w="1498"/>
        <w:gridCol w:w="140"/>
        <w:gridCol w:w="1487"/>
      </w:tblGrid>
      <w:tr w:rsidR="008C46DC" w:rsidRPr="007D03AB" w:rsidTr="00C113C7">
        <w:tc>
          <w:tcPr>
            <w:tcW w:w="3275" w:type="dxa"/>
            <w:tcBorders>
              <w:bottom w:val="single" w:sz="4" w:space="0" w:color="auto"/>
            </w:tcBorders>
            <w:vAlign w:val="bottom"/>
          </w:tcPr>
          <w:p w:rsidR="008C46DC" w:rsidRPr="007D03AB" w:rsidRDefault="008C46DC" w:rsidP="00C113C7">
            <w:pPr>
              <w:jc w:val="center"/>
              <w:rPr>
                <w:rFonts w:ascii="Calibri" w:hAnsi="Calibri" w:cs="Arial"/>
                <w:b/>
                <w:noProof/>
              </w:rPr>
            </w:pPr>
            <w:r w:rsidRPr="007D03AB">
              <w:rPr>
                <w:rFonts w:ascii="Calibri" w:hAnsi="Calibri" w:cs="Arial"/>
                <w:b/>
                <w:noProof/>
              </w:rPr>
              <w:t>Godina</w:t>
            </w:r>
          </w:p>
        </w:tc>
        <w:tc>
          <w:tcPr>
            <w:tcW w:w="134" w:type="dxa"/>
          </w:tcPr>
          <w:p w:rsidR="008C46DC" w:rsidRPr="007D03AB" w:rsidRDefault="008C46DC" w:rsidP="00C113C7">
            <w:pPr>
              <w:jc w:val="center"/>
              <w:rPr>
                <w:rFonts w:ascii="Calibri" w:hAnsi="Calibri" w:cs="Arial"/>
                <w:b/>
                <w:noProof/>
              </w:rPr>
            </w:pPr>
          </w:p>
        </w:tc>
        <w:tc>
          <w:tcPr>
            <w:tcW w:w="1476" w:type="dxa"/>
            <w:tcBorders>
              <w:bottom w:val="single" w:sz="4" w:space="0" w:color="auto"/>
            </w:tcBorders>
            <w:vAlign w:val="bottom"/>
          </w:tcPr>
          <w:p w:rsidR="008C46DC" w:rsidRPr="007D03AB" w:rsidRDefault="008C46DC" w:rsidP="00C113C7">
            <w:pPr>
              <w:ind w:right="72"/>
              <w:jc w:val="right"/>
              <w:rPr>
                <w:rFonts w:ascii="Calibri" w:hAnsi="Calibri" w:cs="Arial"/>
                <w:b/>
                <w:noProof/>
              </w:rPr>
            </w:pPr>
            <w:r w:rsidRPr="007D03AB">
              <w:rPr>
                <w:rFonts w:ascii="Calibri" w:hAnsi="Calibri" w:cs="Arial"/>
                <w:b/>
                <w:noProof/>
              </w:rPr>
              <w:t>Najviša vrijednost imovine</w:t>
            </w:r>
          </w:p>
        </w:tc>
        <w:tc>
          <w:tcPr>
            <w:tcW w:w="134" w:type="dxa"/>
          </w:tcPr>
          <w:p w:rsidR="008C46DC" w:rsidRPr="007D03AB" w:rsidRDefault="008C46DC" w:rsidP="00C113C7">
            <w:pPr>
              <w:ind w:right="72"/>
              <w:jc w:val="right"/>
              <w:rPr>
                <w:rFonts w:ascii="Calibri" w:hAnsi="Calibri" w:cs="Arial"/>
                <w:b/>
                <w:noProof/>
              </w:rPr>
            </w:pPr>
          </w:p>
        </w:tc>
        <w:tc>
          <w:tcPr>
            <w:tcW w:w="1497" w:type="dxa"/>
            <w:tcBorders>
              <w:bottom w:val="single" w:sz="4" w:space="0" w:color="auto"/>
            </w:tcBorders>
            <w:vAlign w:val="bottom"/>
          </w:tcPr>
          <w:p w:rsidR="008C46DC" w:rsidRPr="007D03AB" w:rsidRDefault="008C46DC" w:rsidP="00C113C7">
            <w:pPr>
              <w:ind w:right="72"/>
              <w:jc w:val="right"/>
              <w:rPr>
                <w:rFonts w:ascii="Calibri" w:hAnsi="Calibri" w:cs="Arial"/>
                <w:b/>
                <w:noProof/>
                <w:lang w:val="ru-RU"/>
              </w:rPr>
            </w:pPr>
            <w:r w:rsidRPr="007D03AB">
              <w:rPr>
                <w:rFonts w:ascii="Calibri" w:hAnsi="Calibri" w:cs="Arial"/>
                <w:b/>
                <w:noProof/>
                <w:lang w:val="ru-RU"/>
              </w:rPr>
              <w:t>Cijena po akciji ili udjelu</w:t>
            </w:r>
          </w:p>
        </w:tc>
        <w:tc>
          <w:tcPr>
            <w:tcW w:w="140" w:type="dxa"/>
          </w:tcPr>
          <w:p w:rsidR="008C46DC" w:rsidRPr="007D03AB" w:rsidRDefault="008C46DC" w:rsidP="00C113C7">
            <w:pPr>
              <w:ind w:right="72"/>
              <w:jc w:val="right"/>
              <w:rPr>
                <w:rFonts w:ascii="Calibri" w:hAnsi="Calibri" w:cs="Arial"/>
                <w:b/>
                <w:noProof/>
                <w:lang w:val="ru-RU"/>
              </w:rPr>
            </w:pPr>
          </w:p>
        </w:tc>
        <w:tc>
          <w:tcPr>
            <w:tcW w:w="1498" w:type="dxa"/>
            <w:tcBorders>
              <w:bottom w:val="single" w:sz="4" w:space="0" w:color="auto"/>
            </w:tcBorders>
            <w:vAlign w:val="bottom"/>
          </w:tcPr>
          <w:p w:rsidR="008C46DC" w:rsidRPr="007D03AB" w:rsidRDefault="008C46DC" w:rsidP="00C113C7">
            <w:pPr>
              <w:ind w:right="72"/>
              <w:jc w:val="right"/>
              <w:rPr>
                <w:rFonts w:ascii="Calibri" w:hAnsi="Calibri" w:cs="Arial"/>
                <w:b/>
                <w:noProof/>
              </w:rPr>
            </w:pPr>
            <w:r w:rsidRPr="007D03AB">
              <w:rPr>
                <w:rFonts w:ascii="Calibri" w:hAnsi="Calibri" w:cs="Arial"/>
                <w:b/>
                <w:noProof/>
              </w:rPr>
              <w:t>Najniža vrijednost imovine</w:t>
            </w:r>
          </w:p>
        </w:tc>
        <w:tc>
          <w:tcPr>
            <w:tcW w:w="140" w:type="dxa"/>
          </w:tcPr>
          <w:p w:rsidR="008C46DC" w:rsidRPr="007D03AB" w:rsidRDefault="008C46DC" w:rsidP="00C113C7">
            <w:pPr>
              <w:ind w:right="72"/>
              <w:jc w:val="right"/>
              <w:rPr>
                <w:rFonts w:ascii="Calibri" w:hAnsi="Calibri" w:cs="Arial"/>
                <w:b/>
                <w:noProof/>
              </w:rPr>
            </w:pPr>
          </w:p>
        </w:tc>
        <w:tc>
          <w:tcPr>
            <w:tcW w:w="1487" w:type="dxa"/>
            <w:tcBorders>
              <w:bottom w:val="single" w:sz="4" w:space="0" w:color="auto"/>
            </w:tcBorders>
            <w:vAlign w:val="bottom"/>
          </w:tcPr>
          <w:p w:rsidR="008C46DC" w:rsidRPr="007D03AB" w:rsidRDefault="008C46DC" w:rsidP="00C113C7">
            <w:pPr>
              <w:ind w:right="72"/>
              <w:jc w:val="right"/>
              <w:rPr>
                <w:rFonts w:ascii="Calibri" w:hAnsi="Calibri" w:cs="Arial"/>
                <w:b/>
                <w:noProof/>
                <w:lang w:val="ru-RU"/>
              </w:rPr>
            </w:pPr>
            <w:r w:rsidRPr="007D03AB">
              <w:rPr>
                <w:rFonts w:ascii="Calibri" w:hAnsi="Calibri" w:cs="Arial"/>
                <w:b/>
                <w:noProof/>
                <w:lang w:val="ru-RU"/>
              </w:rPr>
              <w:t>Cijena po akciji ili udjelu</w:t>
            </w:r>
          </w:p>
        </w:tc>
      </w:tr>
      <w:tr w:rsidR="008C46DC" w:rsidRPr="007D03AB" w:rsidTr="00C113C7">
        <w:tc>
          <w:tcPr>
            <w:tcW w:w="3275" w:type="dxa"/>
            <w:vAlign w:val="bottom"/>
          </w:tcPr>
          <w:p w:rsidR="008C46DC" w:rsidRPr="007D03AB" w:rsidRDefault="008C46DC" w:rsidP="00C113C7">
            <w:pPr>
              <w:jc w:val="center"/>
              <w:rPr>
                <w:rFonts w:ascii="Calibri" w:hAnsi="Calibri" w:cs="Arial"/>
                <w:noProof/>
                <w:lang w:val="ru-RU"/>
              </w:rPr>
            </w:pPr>
          </w:p>
        </w:tc>
        <w:tc>
          <w:tcPr>
            <w:tcW w:w="134" w:type="dxa"/>
          </w:tcPr>
          <w:p w:rsidR="008C46DC" w:rsidRPr="007D03AB" w:rsidRDefault="008C46DC" w:rsidP="00C113C7">
            <w:pPr>
              <w:jc w:val="center"/>
              <w:rPr>
                <w:rFonts w:ascii="Calibri" w:hAnsi="Calibri" w:cs="Arial"/>
                <w:noProof/>
                <w:lang w:val="ru-RU"/>
              </w:rPr>
            </w:pPr>
          </w:p>
        </w:tc>
        <w:tc>
          <w:tcPr>
            <w:tcW w:w="1476" w:type="dxa"/>
            <w:vAlign w:val="bottom"/>
          </w:tcPr>
          <w:p w:rsidR="008C46DC" w:rsidRPr="007D03AB" w:rsidRDefault="008C46DC" w:rsidP="00C113C7">
            <w:pPr>
              <w:ind w:right="72"/>
              <w:jc w:val="right"/>
              <w:rPr>
                <w:rFonts w:ascii="Calibri" w:hAnsi="Calibri" w:cs="Arial"/>
                <w:noProof/>
                <w:lang w:val="ru-RU"/>
              </w:rPr>
            </w:pPr>
          </w:p>
        </w:tc>
        <w:tc>
          <w:tcPr>
            <w:tcW w:w="134" w:type="dxa"/>
          </w:tcPr>
          <w:p w:rsidR="008C46DC" w:rsidRPr="007D03AB" w:rsidRDefault="008C46DC" w:rsidP="00C113C7">
            <w:pPr>
              <w:ind w:right="72"/>
              <w:jc w:val="right"/>
              <w:rPr>
                <w:rFonts w:ascii="Calibri" w:hAnsi="Calibri" w:cs="Arial"/>
                <w:noProof/>
                <w:lang w:val="ru-RU"/>
              </w:rPr>
            </w:pPr>
          </w:p>
        </w:tc>
        <w:tc>
          <w:tcPr>
            <w:tcW w:w="1497" w:type="dxa"/>
            <w:vAlign w:val="bottom"/>
          </w:tcPr>
          <w:p w:rsidR="008C46DC" w:rsidRPr="007D03AB" w:rsidRDefault="008C46DC" w:rsidP="00C113C7">
            <w:pPr>
              <w:ind w:right="72"/>
              <w:jc w:val="right"/>
              <w:rPr>
                <w:rFonts w:ascii="Calibri" w:hAnsi="Calibri" w:cs="Arial"/>
                <w:noProof/>
                <w:lang w:val="ru-RU"/>
              </w:rPr>
            </w:pPr>
          </w:p>
        </w:tc>
        <w:tc>
          <w:tcPr>
            <w:tcW w:w="140" w:type="dxa"/>
          </w:tcPr>
          <w:p w:rsidR="008C46DC" w:rsidRPr="007D03AB" w:rsidRDefault="008C46DC" w:rsidP="00C113C7">
            <w:pPr>
              <w:ind w:right="72"/>
              <w:jc w:val="right"/>
              <w:rPr>
                <w:rFonts w:ascii="Calibri" w:hAnsi="Calibri" w:cs="Arial"/>
                <w:noProof/>
                <w:lang w:val="ru-RU"/>
              </w:rPr>
            </w:pPr>
          </w:p>
        </w:tc>
        <w:tc>
          <w:tcPr>
            <w:tcW w:w="1498" w:type="dxa"/>
            <w:vAlign w:val="bottom"/>
          </w:tcPr>
          <w:p w:rsidR="008C46DC" w:rsidRPr="007D03AB" w:rsidRDefault="008C46DC" w:rsidP="00C113C7">
            <w:pPr>
              <w:ind w:right="72"/>
              <w:jc w:val="right"/>
              <w:rPr>
                <w:rFonts w:ascii="Calibri" w:hAnsi="Calibri" w:cs="Arial"/>
                <w:noProof/>
                <w:lang w:val="ru-RU"/>
              </w:rPr>
            </w:pPr>
          </w:p>
        </w:tc>
        <w:tc>
          <w:tcPr>
            <w:tcW w:w="140" w:type="dxa"/>
          </w:tcPr>
          <w:p w:rsidR="008C46DC" w:rsidRPr="007D03AB" w:rsidRDefault="008C46DC" w:rsidP="00C113C7">
            <w:pPr>
              <w:ind w:right="72"/>
              <w:jc w:val="right"/>
              <w:rPr>
                <w:rFonts w:ascii="Calibri" w:hAnsi="Calibri" w:cs="Arial"/>
                <w:noProof/>
                <w:lang w:val="ru-RU"/>
              </w:rPr>
            </w:pPr>
          </w:p>
        </w:tc>
        <w:tc>
          <w:tcPr>
            <w:tcW w:w="1487" w:type="dxa"/>
            <w:vAlign w:val="bottom"/>
          </w:tcPr>
          <w:p w:rsidR="008C46DC" w:rsidRPr="007D03AB" w:rsidRDefault="008C46DC" w:rsidP="00C113C7">
            <w:pPr>
              <w:ind w:right="72"/>
              <w:jc w:val="right"/>
              <w:rPr>
                <w:rFonts w:ascii="Calibri" w:hAnsi="Calibri" w:cs="Arial"/>
                <w:noProof/>
                <w:lang w:val="ru-RU"/>
              </w:rPr>
            </w:pPr>
          </w:p>
        </w:tc>
      </w:tr>
      <w:tr w:rsidR="007D03AB" w:rsidRPr="007D03AB" w:rsidTr="00320BEF">
        <w:tc>
          <w:tcPr>
            <w:tcW w:w="3275" w:type="dxa"/>
            <w:vAlign w:val="bottom"/>
          </w:tcPr>
          <w:p w:rsidR="007D03AB" w:rsidRDefault="007D03AB" w:rsidP="00320BEF">
            <w:pPr>
              <w:jc w:val="center"/>
              <w:rPr>
                <w:rFonts w:ascii="Calibri" w:hAnsi="Calibri" w:cs="Arial"/>
                <w:noProof/>
              </w:rPr>
            </w:pPr>
          </w:p>
          <w:p w:rsidR="007D03AB" w:rsidRPr="007D03AB" w:rsidRDefault="007D03AB" w:rsidP="00320BEF">
            <w:pPr>
              <w:jc w:val="center"/>
              <w:rPr>
                <w:rFonts w:ascii="Calibri" w:hAnsi="Calibri" w:cs="Arial"/>
                <w:noProof/>
              </w:rPr>
            </w:pPr>
            <w:r w:rsidRPr="007D03AB">
              <w:rPr>
                <w:rFonts w:ascii="Calibri" w:hAnsi="Calibri" w:cs="Arial"/>
                <w:noProof/>
              </w:rPr>
              <w:t>2</w:t>
            </w:r>
            <w:r>
              <w:rPr>
                <w:rFonts w:ascii="Calibri" w:hAnsi="Calibri" w:cs="Arial"/>
                <w:noProof/>
              </w:rPr>
              <w:t>018</w:t>
            </w:r>
            <w:r w:rsidRPr="007D03AB">
              <w:rPr>
                <w:rFonts w:ascii="Calibri" w:hAnsi="Calibri" w:cs="Arial"/>
                <w:noProof/>
              </w:rPr>
              <w:t>.</w:t>
            </w:r>
          </w:p>
        </w:tc>
        <w:tc>
          <w:tcPr>
            <w:tcW w:w="134" w:type="dxa"/>
          </w:tcPr>
          <w:p w:rsidR="007D03AB" w:rsidRPr="007D03AB" w:rsidRDefault="007D03AB" w:rsidP="00320BEF">
            <w:pPr>
              <w:jc w:val="center"/>
              <w:rPr>
                <w:rFonts w:ascii="Calibri" w:hAnsi="Calibri" w:cs="Arial"/>
                <w:noProof/>
              </w:rPr>
            </w:pPr>
          </w:p>
        </w:tc>
        <w:tc>
          <w:tcPr>
            <w:tcW w:w="1476" w:type="dxa"/>
            <w:vAlign w:val="bottom"/>
          </w:tcPr>
          <w:p w:rsidR="007D03AB" w:rsidRPr="007D03AB" w:rsidRDefault="007D03AB" w:rsidP="007D03AB">
            <w:pPr>
              <w:ind w:right="72"/>
              <w:rPr>
                <w:rFonts w:ascii="Calibri" w:hAnsi="Calibri" w:cs="Arial"/>
                <w:noProof/>
              </w:rPr>
            </w:pPr>
            <w:r>
              <w:rPr>
                <w:rFonts w:ascii="Calibri" w:hAnsi="Calibri" w:cs="Arial"/>
                <w:noProof/>
              </w:rPr>
              <w:t>21.003.415</w:t>
            </w:r>
          </w:p>
        </w:tc>
        <w:tc>
          <w:tcPr>
            <w:tcW w:w="134" w:type="dxa"/>
          </w:tcPr>
          <w:p w:rsidR="007D03AB" w:rsidRPr="007D03AB" w:rsidRDefault="007D03AB" w:rsidP="00320BEF">
            <w:pPr>
              <w:ind w:right="72"/>
              <w:jc w:val="center"/>
              <w:rPr>
                <w:rFonts w:ascii="Calibri" w:hAnsi="Calibri" w:cs="Arial"/>
                <w:noProof/>
              </w:rPr>
            </w:pPr>
          </w:p>
        </w:tc>
        <w:tc>
          <w:tcPr>
            <w:tcW w:w="1497" w:type="dxa"/>
            <w:vAlign w:val="bottom"/>
          </w:tcPr>
          <w:p w:rsidR="007D03AB" w:rsidRPr="007D03AB" w:rsidRDefault="007D03AB" w:rsidP="00320BEF">
            <w:pPr>
              <w:ind w:right="72"/>
              <w:jc w:val="center"/>
              <w:rPr>
                <w:rFonts w:ascii="Calibri" w:hAnsi="Calibri" w:cs="Arial"/>
                <w:noProof/>
              </w:rPr>
            </w:pPr>
            <w:r w:rsidRPr="007D03AB">
              <w:rPr>
                <w:rFonts w:ascii="Calibri" w:hAnsi="Calibri" w:cs="Arial"/>
                <w:noProof/>
              </w:rPr>
              <w:t>6,</w:t>
            </w:r>
            <w:r>
              <w:rPr>
                <w:rFonts w:ascii="Calibri" w:hAnsi="Calibri" w:cs="Arial"/>
                <w:noProof/>
              </w:rPr>
              <w:t>51</w:t>
            </w:r>
          </w:p>
        </w:tc>
        <w:tc>
          <w:tcPr>
            <w:tcW w:w="140" w:type="dxa"/>
          </w:tcPr>
          <w:p w:rsidR="007D03AB" w:rsidRPr="007D03AB" w:rsidRDefault="007D03AB" w:rsidP="00320BEF">
            <w:pPr>
              <w:ind w:right="72"/>
              <w:jc w:val="center"/>
              <w:rPr>
                <w:rFonts w:ascii="Calibri" w:hAnsi="Calibri" w:cs="Arial"/>
                <w:noProof/>
              </w:rPr>
            </w:pPr>
          </w:p>
        </w:tc>
        <w:tc>
          <w:tcPr>
            <w:tcW w:w="1498" w:type="dxa"/>
            <w:vAlign w:val="bottom"/>
          </w:tcPr>
          <w:p w:rsidR="007D03AB" w:rsidRPr="007D03AB" w:rsidRDefault="007D03AB" w:rsidP="00320BEF">
            <w:pPr>
              <w:ind w:right="72"/>
              <w:jc w:val="center"/>
              <w:rPr>
                <w:rFonts w:ascii="Calibri" w:hAnsi="Calibri" w:cs="Arial"/>
                <w:noProof/>
              </w:rPr>
            </w:pPr>
            <w:r>
              <w:rPr>
                <w:rFonts w:ascii="Calibri" w:hAnsi="Calibri" w:cs="Arial"/>
                <w:noProof/>
              </w:rPr>
              <w:t>16.967.995</w:t>
            </w:r>
          </w:p>
        </w:tc>
        <w:tc>
          <w:tcPr>
            <w:tcW w:w="140" w:type="dxa"/>
          </w:tcPr>
          <w:p w:rsidR="007D03AB" w:rsidRPr="007D03AB" w:rsidRDefault="007D03AB" w:rsidP="00320BEF">
            <w:pPr>
              <w:ind w:right="72"/>
              <w:jc w:val="center"/>
              <w:rPr>
                <w:rFonts w:ascii="Calibri" w:hAnsi="Calibri" w:cs="Arial"/>
                <w:noProof/>
              </w:rPr>
            </w:pPr>
          </w:p>
        </w:tc>
        <w:tc>
          <w:tcPr>
            <w:tcW w:w="1487" w:type="dxa"/>
            <w:vAlign w:val="bottom"/>
          </w:tcPr>
          <w:p w:rsidR="007D03AB" w:rsidRPr="007D03AB" w:rsidRDefault="004B678C" w:rsidP="00320BEF">
            <w:pPr>
              <w:ind w:right="72"/>
              <w:jc w:val="center"/>
              <w:rPr>
                <w:rFonts w:ascii="Calibri" w:hAnsi="Calibri" w:cs="Arial"/>
                <w:noProof/>
              </w:rPr>
            </w:pPr>
            <w:r>
              <w:rPr>
                <w:rFonts w:ascii="Calibri" w:hAnsi="Calibri" w:cs="Arial"/>
                <w:noProof/>
              </w:rPr>
              <w:t>5,49</w:t>
            </w:r>
          </w:p>
        </w:tc>
      </w:tr>
      <w:tr w:rsidR="007D03AB" w:rsidRPr="007D03AB" w:rsidTr="00320BEF">
        <w:tc>
          <w:tcPr>
            <w:tcW w:w="3275" w:type="dxa"/>
            <w:vAlign w:val="bottom"/>
          </w:tcPr>
          <w:p w:rsidR="007D03AB" w:rsidRDefault="007D03AB" w:rsidP="007D03AB">
            <w:pPr>
              <w:rPr>
                <w:rFonts w:ascii="Calibri" w:hAnsi="Calibri" w:cs="Arial"/>
                <w:noProof/>
              </w:rPr>
            </w:pPr>
          </w:p>
          <w:p w:rsidR="007D03AB" w:rsidRPr="007D03AB" w:rsidRDefault="007D03AB" w:rsidP="00320BEF">
            <w:pPr>
              <w:jc w:val="center"/>
              <w:rPr>
                <w:rFonts w:ascii="Calibri" w:hAnsi="Calibri" w:cs="Arial"/>
                <w:noProof/>
              </w:rPr>
            </w:pPr>
            <w:r w:rsidRPr="007D03AB">
              <w:rPr>
                <w:rFonts w:ascii="Calibri" w:hAnsi="Calibri" w:cs="Arial"/>
                <w:noProof/>
              </w:rPr>
              <w:t>2017.</w:t>
            </w:r>
          </w:p>
        </w:tc>
        <w:tc>
          <w:tcPr>
            <w:tcW w:w="134" w:type="dxa"/>
          </w:tcPr>
          <w:p w:rsidR="007D03AB" w:rsidRPr="007D03AB" w:rsidRDefault="007D03AB" w:rsidP="00320BEF">
            <w:pPr>
              <w:jc w:val="center"/>
              <w:rPr>
                <w:rFonts w:ascii="Calibri" w:hAnsi="Calibri" w:cs="Arial"/>
                <w:noProof/>
              </w:rPr>
            </w:pPr>
          </w:p>
        </w:tc>
        <w:tc>
          <w:tcPr>
            <w:tcW w:w="1476" w:type="dxa"/>
            <w:vAlign w:val="bottom"/>
          </w:tcPr>
          <w:p w:rsidR="007D03AB" w:rsidRPr="007D03AB" w:rsidRDefault="00FF11F5" w:rsidP="007D03AB">
            <w:pPr>
              <w:ind w:right="72"/>
              <w:rPr>
                <w:rFonts w:ascii="Calibri" w:hAnsi="Calibri" w:cs="Arial"/>
                <w:noProof/>
              </w:rPr>
            </w:pPr>
            <w:r>
              <w:rPr>
                <w:rFonts w:ascii="Calibri" w:hAnsi="Calibri" w:cs="Arial"/>
                <w:noProof/>
              </w:rPr>
              <w:t>21.604.677</w:t>
            </w:r>
          </w:p>
        </w:tc>
        <w:tc>
          <w:tcPr>
            <w:tcW w:w="134" w:type="dxa"/>
          </w:tcPr>
          <w:p w:rsidR="007D03AB" w:rsidRPr="007D03AB" w:rsidRDefault="007D03AB" w:rsidP="00320BEF">
            <w:pPr>
              <w:ind w:right="72"/>
              <w:jc w:val="center"/>
              <w:rPr>
                <w:rFonts w:ascii="Calibri" w:hAnsi="Calibri" w:cs="Arial"/>
                <w:noProof/>
              </w:rPr>
            </w:pPr>
          </w:p>
        </w:tc>
        <w:tc>
          <w:tcPr>
            <w:tcW w:w="1497" w:type="dxa"/>
            <w:vAlign w:val="bottom"/>
          </w:tcPr>
          <w:p w:rsidR="007D03AB" w:rsidRPr="007D03AB" w:rsidRDefault="007D03AB" w:rsidP="00FF11F5">
            <w:pPr>
              <w:ind w:right="72"/>
              <w:jc w:val="center"/>
              <w:rPr>
                <w:rFonts w:ascii="Calibri" w:hAnsi="Calibri" w:cs="Arial"/>
                <w:noProof/>
              </w:rPr>
            </w:pPr>
            <w:r w:rsidRPr="007D03AB">
              <w:rPr>
                <w:rFonts w:ascii="Calibri" w:hAnsi="Calibri" w:cs="Arial"/>
                <w:noProof/>
              </w:rPr>
              <w:t>6,</w:t>
            </w:r>
            <w:r w:rsidR="00FF11F5">
              <w:rPr>
                <w:rFonts w:ascii="Calibri" w:hAnsi="Calibri" w:cs="Arial"/>
                <w:noProof/>
              </w:rPr>
              <w:t>70</w:t>
            </w:r>
          </w:p>
        </w:tc>
        <w:tc>
          <w:tcPr>
            <w:tcW w:w="140" w:type="dxa"/>
          </w:tcPr>
          <w:p w:rsidR="007D03AB" w:rsidRPr="007D03AB" w:rsidRDefault="007D03AB" w:rsidP="00320BEF">
            <w:pPr>
              <w:ind w:right="72"/>
              <w:jc w:val="center"/>
              <w:rPr>
                <w:rFonts w:ascii="Calibri" w:hAnsi="Calibri" w:cs="Arial"/>
                <w:noProof/>
              </w:rPr>
            </w:pPr>
          </w:p>
        </w:tc>
        <w:tc>
          <w:tcPr>
            <w:tcW w:w="1498" w:type="dxa"/>
            <w:vAlign w:val="bottom"/>
          </w:tcPr>
          <w:p w:rsidR="007D03AB" w:rsidRPr="007D03AB" w:rsidRDefault="007D03AB" w:rsidP="00320BEF">
            <w:pPr>
              <w:ind w:right="72"/>
              <w:jc w:val="center"/>
              <w:rPr>
                <w:rFonts w:ascii="Calibri" w:hAnsi="Calibri" w:cs="Arial"/>
                <w:noProof/>
              </w:rPr>
            </w:pPr>
            <w:r w:rsidRPr="007D03AB">
              <w:rPr>
                <w:rFonts w:ascii="Calibri" w:hAnsi="Calibri" w:cs="Arial"/>
                <w:noProof/>
              </w:rPr>
              <w:t>19.701.964</w:t>
            </w:r>
          </w:p>
        </w:tc>
        <w:tc>
          <w:tcPr>
            <w:tcW w:w="140" w:type="dxa"/>
          </w:tcPr>
          <w:p w:rsidR="007D03AB" w:rsidRPr="007D03AB" w:rsidRDefault="007D03AB" w:rsidP="00320BEF">
            <w:pPr>
              <w:ind w:right="72"/>
              <w:jc w:val="center"/>
              <w:rPr>
                <w:rFonts w:ascii="Calibri" w:hAnsi="Calibri" w:cs="Arial"/>
                <w:noProof/>
              </w:rPr>
            </w:pPr>
          </w:p>
        </w:tc>
        <w:tc>
          <w:tcPr>
            <w:tcW w:w="1487" w:type="dxa"/>
            <w:vAlign w:val="bottom"/>
          </w:tcPr>
          <w:p w:rsidR="007D03AB" w:rsidRPr="007D03AB" w:rsidRDefault="007D03AB" w:rsidP="00320BEF">
            <w:pPr>
              <w:ind w:right="72"/>
              <w:jc w:val="center"/>
              <w:rPr>
                <w:rFonts w:ascii="Calibri" w:hAnsi="Calibri" w:cs="Arial"/>
                <w:noProof/>
              </w:rPr>
            </w:pPr>
            <w:r w:rsidRPr="007D03AB">
              <w:rPr>
                <w:rFonts w:ascii="Calibri" w:hAnsi="Calibri" w:cs="Arial"/>
                <w:noProof/>
              </w:rPr>
              <w:t>6,11</w:t>
            </w:r>
          </w:p>
        </w:tc>
      </w:tr>
      <w:tr w:rsidR="007D03AB" w:rsidRPr="007D03AB" w:rsidTr="00C113C7">
        <w:tc>
          <w:tcPr>
            <w:tcW w:w="3275" w:type="dxa"/>
            <w:vAlign w:val="bottom"/>
          </w:tcPr>
          <w:p w:rsidR="007D03AB" w:rsidRDefault="007D03AB" w:rsidP="00C113C7">
            <w:pPr>
              <w:jc w:val="center"/>
              <w:rPr>
                <w:rFonts w:ascii="Calibri" w:hAnsi="Calibri" w:cs="Arial"/>
                <w:noProof/>
              </w:rPr>
            </w:pPr>
          </w:p>
        </w:tc>
        <w:tc>
          <w:tcPr>
            <w:tcW w:w="134" w:type="dxa"/>
          </w:tcPr>
          <w:p w:rsidR="007D03AB" w:rsidRPr="007D03AB" w:rsidRDefault="007D03AB" w:rsidP="00C113C7">
            <w:pPr>
              <w:jc w:val="center"/>
              <w:rPr>
                <w:rFonts w:ascii="Calibri" w:hAnsi="Calibri" w:cs="Arial"/>
                <w:noProof/>
              </w:rPr>
            </w:pPr>
          </w:p>
        </w:tc>
        <w:tc>
          <w:tcPr>
            <w:tcW w:w="1476" w:type="dxa"/>
            <w:vAlign w:val="bottom"/>
          </w:tcPr>
          <w:p w:rsidR="007D03AB" w:rsidRPr="007D03AB" w:rsidRDefault="007D03AB" w:rsidP="0002568E">
            <w:pPr>
              <w:ind w:right="72"/>
              <w:jc w:val="center"/>
              <w:rPr>
                <w:rFonts w:ascii="Calibri" w:hAnsi="Calibri" w:cs="Arial"/>
                <w:noProof/>
              </w:rPr>
            </w:pPr>
          </w:p>
        </w:tc>
        <w:tc>
          <w:tcPr>
            <w:tcW w:w="134" w:type="dxa"/>
          </w:tcPr>
          <w:p w:rsidR="007D03AB" w:rsidRPr="007D03AB" w:rsidRDefault="007D03AB" w:rsidP="0002568E">
            <w:pPr>
              <w:ind w:right="72"/>
              <w:jc w:val="center"/>
              <w:rPr>
                <w:rFonts w:ascii="Calibri" w:hAnsi="Calibri" w:cs="Arial"/>
                <w:noProof/>
              </w:rPr>
            </w:pPr>
          </w:p>
        </w:tc>
        <w:tc>
          <w:tcPr>
            <w:tcW w:w="1497" w:type="dxa"/>
            <w:vAlign w:val="bottom"/>
          </w:tcPr>
          <w:p w:rsidR="007D03AB" w:rsidRPr="007D03AB" w:rsidRDefault="007D03AB" w:rsidP="0002568E">
            <w:pPr>
              <w:ind w:right="72"/>
              <w:jc w:val="center"/>
              <w:rPr>
                <w:rFonts w:ascii="Calibri" w:hAnsi="Calibri" w:cs="Arial"/>
                <w:noProof/>
              </w:rPr>
            </w:pPr>
          </w:p>
        </w:tc>
        <w:tc>
          <w:tcPr>
            <w:tcW w:w="140" w:type="dxa"/>
          </w:tcPr>
          <w:p w:rsidR="007D03AB" w:rsidRPr="007D03AB" w:rsidRDefault="007D03AB" w:rsidP="0002568E">
            <w:pPr>
              <w:ind w:right="72"/>
              <w:jc w:val="center"/>
              <w:rPr>
                <w:rFonts w:ascii="Calibri" w:hAnsi="Calibri" w:cs="Arial"/>
                <w:noProof/>
              </w:rPr>
            </w:pPr>
          </w:p>
        </w:tc>
        <w:tc>
          <w:tcPr>
            <w:tcW w:w="1498" w:type="dxa"/>
            <w:vAlign w:val="bottom"/>
          </w:tcPr>
          <w:p w:rsidR="007D03AB" w:rsidRPr="007D03AB" w:rsidRDefault="007D03AB" w:rsidP="0002568E">
            <w:pPr>
              <w:ind w:right="72"/>
              <w:jc w:val="center"/>
              <w:rPr>
                <w:rFonts w:ascii="Calibri" w:hAnsi="Calibri" w:cs="Arial"/>
                <w:noProof/>
              </w:rPr>
            </w:pPr>
          </w:p>
        </w:tc>
        <w:tc>
          <w:tcPr>
            <w:tcW w:w="140" w:type="dxa"/>
          </w:tcPr>
          <w:p w:rsidR="007D03AB" w:rsidRPr="007D03AB" w:rsidRDefault="007D03AB" w:rsidP="0002568E">
            <w:pPr>
              <w:ind w:right="72"/>
              <w:jc w:val="center"/>
              <w:rPr>
                <w:rFonts w:ascii="Calibri" w:hAnsi="Calibri" w:cs="Arial"/>
                <w:noProof/>
              </w:rPr>
            </w:pPr>
          </w:p>
        </w:tc>
        <w:tc>
          <w:tcPr>
            <w:tcW w:w="1487" w:type="dxa"/>
            <w:vAlign w:val="bottom"/>
          </w:tcPr>
          <w:p w:rsidR="007D03AB" w:rsidRPr="007D03AB" w:rsidRDefault="007D03AB" w:rsidP="0002568E">
            <w:pPr>
              <w:ind w:right="72"/>
              <w:jc w:val="center"/>
              <w:rPr>
                <w:rFonts w:ascii="Calibri" w:hAnsi="Calibri" w:cs="Arial"/>
                <w:noProof/>
              </w:rPr>
            </w:pPr>
          </w:p>
        </w:tc>
      </w:tr>
      <w:tr w:rsidR="008C46DC" w:rsidRPr="007D03AB" w:rsidTr="00C113C7">
        <w:tc>
          <w:tcPr>
            <w:tcW w:w="3275" w:type="dxa"/>
            <w:vAlign w:val="bottom"/>
          </w:tcPr>
          <w:p w:rsidR="008C46DC" w:rsidRPr="007D03AB" w:rsidRDefault="00602811" w:rsidP="00C113C7">
            <w:pPr>
              <w:jc w:val="center"/>
              <w:rPr>
                <w:rFonts w:ascii="Calibri" w:hAnsi="Calibri" w:cs="Arial"/>
                <w:noProof/>
              </w:rPr>
            </w:pPr>
            <w:r w:rsidRPr="007D03AB">
              <w:rPr>
                <w:rFonts w:ascii="Calibri" w:hAnsi="Calibri" w:cs="Arial"/>
                <w:noProof/>
              </w:rPr>
              <w:t>2016</w:t>
            </w:r>
            <w:r w:rsidR="008C46DC" w:rsidRPr="007D03AB">
              <w:rPr>
                <w:rFonts w:ascii="Calibri" w:hAnsi="Calibri" w:cs="Arial"/>
                <w:noProof/>
              </w:rPr>
              <w:t>.</w:t>
            </w:r>
          </w:p>
        </w:tc>
        <w:tc>
          <w:tcPr>
            <w:tcW w:w="134" w:type="dxa"/>
          </w:tcPr>
          <w:p w:rsidR="008C46DC" w:rsidRPr="007D03AB" w:rsidRDefault="008C46DC" w:rsidP="00C113C7">
            <w:pPr>
              <w:jc w:val="center"/>
              <w:rPr>
                <w:rFonts w:ascii="Calibri" w:hAnsi="Calibri" w:cs="Arial"/>
                <w:noProof/>
              </w:rPr>
            </w:pPr>
          </w:p>
        </w:tc>
        <w:tc>
          <w:tcPr>
            <w:tcW w:w="1476" w:type="dxa"/>
            <w:vAlign w:val="bottom"/>
          </w:tcPr>
          <w:p w:rsidR="008C46DC" w:rsidRPr="007D03AB" w:rsidRDefault="00602811" w:rsidP="0002568E">
            <w:pPr>
              <w:ind w:right="72"/>
              <w:jc w:val="center"/>
              <w:rPr>
                <w:rFonts w:ascii="Calibri" w:hAnsi="Calibri" w:cs="Arial"/>
                <w:noProof/>
              </w:rPr>
            </w:pPr>
            <w:r w:rsidRPr="007D03AB">
              <w:rPr>
                <w:rFonts w:ascii="Calibri" w:hAnsi="Calibri" w:cs="Arial"/>
                <w:noProof/>
              </w:rPr>
              <w:t>0</w:t>
            </w:r>
          </w:p>
        </w:tc>
        <w:tc>
          <w:tcPr>
            <w:tcW w:w="134" w:type="dxa"/>
          </w:tcPr>
          <w:p w:rsidR="008C46DC" w:rsidRPr="007D03AB" w:rsidRDefault="008C46DC" w:rsidP="0002568E">
            <w:pPr>
              <w:ind w:right="72"/>
              <w:jc w:val="center"/>
              <w:rPr>
                <w:rFonts w:ascii="Calibri" w:hAnsi="Calibri" w:cs="Arial"/>
                <w:noProof/>
              </w:rPr>
            </w:pPr>
          </w:p>
        </w:tc>
        <w:tc>
          <w:tcPr>
            <w:tcW w:w="1497" w:type="dxa"/>
            <w:vAlign w:val="bottom"/>
          </w:tcPr>
          <w:p w:rsidR="008C46DC" w:rsidRPr="007D03AB" w:rsidRDefault="00602811" w:rsidP="0002568E">
            <w:pPr>
              <w:ind w:right="72"/>
              <w:jc w:val="center"/>
              <w:rPr>
                <w:rFonts w:ascii="Calibri" w:hAnsi="Calibri" w:cs="Arial"/>
                <w:noProof/>
              </w:rPr>
            </w:pPr>
            <w:r w:rsidRPr="007D03AB">
              <w:rPr>
                <w:rFonts w:ascii="Calibri" w:hAnsi="Calibri" w:cs="Arial"/>
                <w:noProof/>
              </w:rPr>
              <w:t>0</w:t>
            </w:r>
          </w:p>
        </w:tc>
        <w:tc>
          <w:tcPr>
            <w:tcW w:w="140" w:type="dxa"/>
          </w:tcPr>
          <w:p w:rsidR="008C46DC" w:rsidRPr="007D03AB" w:rsidRDefault="008C46DC" w:rsidP="0002568E">
            <w:pPr>
              <w:ind w:right="72"/>
              <w:jc w:val="center"/>
              <w:rPr>
                <w:rFonts w:ascii="Calibri" w:hAnsi="Calibri" w:cs="Arial"/>
                <w:noProof/>
              </w:rPr>
            </w:pPr>
          </w:p>
        </w:tc>
        <w:tc>
          <w:tcPr>
            <w:tcW w:w="1498" w:type="dxa"/>
            <w:vAlign w:val="bottom"/>
          </w:tcPr>
          <w:p w:rsidR="008C46DC" w:rsidRPr="007D03AB" w:rsidRDefault="00602811" w:rsidP="0002568E">
            <w:pPr>
              <w:ind w:right="72"/>
              <w:jc w:val="center"/>
              <w:rPr>
                <w:rFonts w:ascii="Calibri" w:hAnsi="Calibri" w:cs="Arial"/>
                <w:noProof/>
              </w:rPr>
            </w:pPr>
            <w:r w:rsidRPr="007D03AB">
              <w:rPr>
                <w:rFonts w:ascii="Calibri" w:hAnsi="Calibri" w:cs="Arial"/>
                <w:noProof/>
              </w:rPr>
              <w:t>0</w:t>
            </w:r>
          </w:p>
        </w:tc>
        <w:tc>
          <w:tcPr>
            <w:tcW w:w="140" w:type="dxa"/>
          </w:tcPr>
          <w:p w:rsidR="008C46DC" w:rsidRPr="007D03AB" w:rsidRDefault="008C46DC" w:rsidP="0002568E">
            <w:pPr>
              <w:ind w:right="72"/>
              <w:jc w:val="center"/>
              <w:rPr>
                <w:rFonts w:ascii="Calibri" w:hAnsi="Calibri" w:cs="Arial"/>
                <w:noProof/>
              </w:rPr>
            </w:pPr>
          </w:p>
        </w:tc>
        <w:tc>
          <w:tcPr>
            <w:tcW w:w="1487" w:type="dxa"/>
            <w:vAlign w:val="bottom"/>
          </w:tcPr>
          <w:p w:rsidR="008C46DC" w:rsidRPr="007D03AB" w:rsidRDefault="00602811" w:rsidP="0002568E">
            <w:pPr>
              <w:ind w:right="72"/>
              <w:jc w:val="center"/>
              <w:rPr>
                <w:rFonts w:ascii="Calibri" w:hAnsi="Calibri" w:cs="Arial"/>
                <w:noProof/>
              </w:rPr>
            </w:pPr>
            <w:r w:rsidRPr="007D03AB">
              <w:rPr>
                <w:rFonts w:ascii="Calibri" w:hAnsi="Calibri" w:cs="Arial"/>
                <w:noProof/>
              </w:rPr>
              <w:t>0</w:t>
            </w:r>
          </w:p>
        </w:tc>
      </w:tr>
    </w:tbl>
    <w:p w:rsidR="008C46DC" w:rsidRPr="00870C0F" w:rsidRDefault="008C46DC" w:rsidP="00947C83">
      <w:pPr>
        <w:rPr>
          <w:rFonts w:ascii="Calibri" w:hAnsi="Calibri" w:cs="Arial"/>
          <w:noProof/>
          <w:highlight w:val="lightGray"/>
        </w:rPr>
      </w:pPr>
    </w:p>
    <w:sectPr w:rsidR="008C46DC" w:rsidRPr="00870C0F" w:rsidSect="00AF6BE9">
      <w:footerReference w:type="even" r:id="rId19"/>
      <w:footerReference w:type="default" r:id="rId20"/>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D25" w:rsidRDefault="006C0D25">
      <w:r>
        <w:separator/>
      </w:r>
    </w:p>
  </w:endnote>
  <w:endnote w:type="continuationSeparator" w:id="0">
    <w:p w:rsidR="006C0D25" w:rsidRDefault="006C0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D9" w:rsidRDefault="00AB0372" w:rsidP="00DA450A">
    <w:pPr>
      <w:pStyle w:val="Footer"/>
      <w:framePr w:wrap="around" w:vAnchor="text" w:hAnchor="margin" w:xAlign="right" w:y="1"/>
      <w:rPr>
        <w:rStyle w:val="PageNumber"/>
      </w:rPr>
    </w:pPr>
    <w:r>
      <w:rPr>
        <w:rStyle w:val="PageNumber"/>
      </w:rPr>
      <w:fldChar w:fldCharType="begin"/>
    </w:r>
    <w:r w:rsidR="006F44D9">
      <w:rPr>
        <w:rStyle w:val="PageNumber"/>
      </w:rPr>
      <w:instrText xml:space="preserve">PAGE  </w:instrText>
    </w:r>
    <w:r>
      <w:rPr>
        <w:rStyle w:val="PageNumber"/>
      </w:rPr>
      <w:fldChar w:fldCharType="end"/>
    </w:r>
  </w:p>
  <w:p w:rsidR="006F44D9" w:rsidRDefault="006F44D9"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D9" w:rsidRDefault="00AB0372" w:rsidP="00DA450A">
    <w:pPr>
      <w:pStyle w:val="Footer"/>
      <w:framePr w:wrap="around" w:vAnchor="text" w:hAnchor="margin" w:xAlign="right" w:y="1"/>
      <w:rPr>
        <w:rStyle w:val="PageNumber"/>
      </w:rPr>
    </w:pPr>
    <w:r>
      <w:rPr>
        <w:rStyle w:val="PageNumber"/>
      </w:rPr>
      <w:fldChar w:fldCharType="begin"/>
    </w:r>
    <w:r w:rsidR="006F44D9">
      <w:rPr>
        <w:rStyle w:val="PageNumber"/>
      </w:rPr>
      <w:instrText xml:space="preserve">PAGE  </w:instrText>
    </w:r>
    <w:r>
      <w:rPr>
        <w:rStyle w:val="PageNumber"/>
      </w:rPr>
      <w:fldChar w:fldCharType="separate"/>
    </w:r>
    <w:r w:rsidR="004035ED">
      <w:rPr>
        <w:rStyle w:val="PageNumber"/>
        <w:noProof/>
      </w:rPr>
      <w:t>27</w:t>
    </w:r>
    <w:r>
      <w:rPr>
        <w:rStyle w:val="PageNumber"/>
      </w:rPr>
      <w:fldChar w:fldCharType="end"/>
    </w:r>
  </w:p>
  <w:p w:rsidR="006F44D9" w:rsidRDefault="006F44D9"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D25" w:rsidRDefault="006C0D25">
      <w:r>
        <w:separator/>
      </w:r>
    </w:p>
  </w:footnote>
  <w:footnote w:type="continuationSeparator" w:id="0">
    <w:p w:rsidR="006C0D25" w:rsidRDefault="006C0D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57617"/>
    <w:multiLevelType w:val="hybridMultilevel"/>
    <w:tmpl w:val="18CCBC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5">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9">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8"/>
  </w:num>
  <w:num w:numId="2">
    <w:abstractNumId w:val="9"/>
  </w:num>
  <w:num w:numId="3">
    <w:abstractNumId w:val="34"/>
  </w:num>
  <w:num w:numId="4">
    <w:abstractNumId w:val="15"/>
  </w:num>
  <w:num w:numId="5">
    <w:abstractNumId w:val="18"/>
  </w:num>
  <w:num w:numId="6">
    <w:abstractNumId w:val="39"/>
  </w:num>
  <w:num w:numId="7">
    <w:abstractNumId w:val="41"/>
  </w:num>
  <w:num w:numId="8">
    <w:abstractNumId w:val="22"/>
  </w:num>
  <w:num w:numId="9">
    <w:abstractNumId w:val="37"/>
  </w:num>
  <w:num w:numId="10">
    <w:abstractNumId w:val="30"/>
  </w:num>
  <w:num w:numId="11">
    <w:abstractNumId w:val="11"/>
  </w:num>
  <w:num w:numId="12">
    <w:abstractNumId w:val="5"/>
  </w:num>
  <w:num w:numId="13">
    <w:abstractNumId w:val="16"/>
  </w:num>
  <w:num w:numId="14">
    <w:abstractNumId w:val="38"/>
  </w:num>
  <w:num w:numId="15">
    <w:abstractNumId w:val="40"/>
  </w:num>
  <w:num w:numId="16">
    <w:abstractNumId w:val="20"/>
  </w:num>
  <w:num w:numId="17">
    <w:abstractNumId w:val="36"/>
  </w:num>
  <w:num w:numId="18">
    <w:abstractNumId w:val="32"/>
  </w:num>
  <w:num w:numId="19">
    <w:abstractNumId w:val="13"/>
  </w:num>
  <w:num w:numId="20">
    <w:abstractNumId w:val="26"/>
  </w:num>
  <w:num w:numId="21">
    <w:abstractNumId w:val="2"/>
  </w:num>
  <w:num w:numId="22">
    <w:abstractNumId w:val="31"/>
  </w:num>
  <w:num w:numId="23">
    <w:abstractNumId w:val="27"/>
  </w:num>
  <w:num w:numId="24">
    <w:abstractNumId w:val="0"/>
  </w:num>
  <w:num w:numId="25">
    <w:abstractNumId w:val="10"/>
  </w:num>
  <w:num w:numId="26">
    <w:abstractNumId w:val="23"/>
  </w:num>
  <w:num w:numId="27">
    <w:abstractNumId w:val="3"/>
  </w:num>
  <w:num w:numId="28">
    <w:abstractNumId w:val="25"/>
  </w:num>
  <w:num w:numId="29">
    <w:abstractNumId w:val="19"/>
  </w:num>
  <w:num w:numId="30">
    <w:abstractNumId w:val="7"/>
  </w:num>
  <w:num w:numId="31">
    <w:abstractNumId w:val="35"/>
  </w:num>
  <w:num w:numId="32">
    <w:abstractNumId w:val="14"/>
  </w:num>
  <w:num w:numId="33">
    <w:abstractNumId w:val="17"/>
  </w:num>
  <w:num w:numId="34">
    <w:abstractNumId w:val="4"/>
  </w:num>
  <w:num w:numId="35">
    <w:abstractNumId w:val="33"/>
  </w:num>
  <w:num w:numId="36">
    <w:abstractNumId w:val="8"/>
  </w:num>
  <w:num w:numId="37">
    <w:abstractNumId w:val="6"/>
  </w:num>
  <w:num w:numId="38">
    <w:abstractNumId w:val="12"/>
  </w:num>
  <w:num w:numId="39">
    <w:abstractNumId w:val="21"/>
  </w:num>
  <w:num w:numId="40">
    <w:abstractNumId w:val="24"/>
  </w:num>
  <w:num w:numId="41">
    <w:abstractNumId w:val="29"/>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5285"/>
    <w:rsid w:val="000077B8"/>
    <w:rsid w:val="00007F24"/>
    <w:rsid w:val="000120EE"/>
    <w:rsid w:val="00012461"/>
    <w:rsid w:val="0001289A"/>
    <w:rsid w:val="00012A11"/>
    <w:rsid w:val="00012C36"/>
    <w:rsid w:val="00016EBE"/>
    <w:rsid w:val="00022792"/>
    <w:rsid w:val="00022BE4"/>
    <w:rsid w:val="00023F4E"/>
    <w:rsid w:val="0002568E"/>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4C85"/>
    <w:rsid w:val="00046815"/>
    <w:rsid w:val="00047E4A"/>
    <w:rsid w:val="00050213"/>
    <w:rsid w:val="000537DF"/>
    <w:rsid w:val="000545D4"/>
    <w:rsid w:val="00054AE5"/>
    <w:rsid w:val="00054F53"/>
    <w:rsid w:val="00055517"/>
    <w:rsid w:val="00055927"/>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8F"/>
    <w:rsid w:val="000D1463"/>
    <w:rsid w:val="000D190D"/>
    <w:rsid w:val="000D3894"/>
    <w:rsid w:val="000D3D3F"/>
    <w:rsid w:val="000D4E6A"/>
    <w:rsid w:val="000D66D2"/>
    <w:rsid w:val="000D70A5"/>
    <w:rsid w:val="000D7B3E"/>
    <w:rsid w:val="000E0B6C"/>
    <w:rsid w:val="000E0EA3"/>
    <w:rsid w:val="000E2EB5"/>
    <w:rsid w:val="000E3CC9"/>
    <w:rsid w:val="000E40EA"/>
    <w:rsid w:val="000E4F39"/>
    <w:rsid w:val="000E569A"/>
    <w:rsid w:val="000E654D"/>
    <w:rsid w:val="000E7051"/>
    <w:rsid w:val="000E777F"/>
    <w:rsid w:val="000F02C9"/>
    <w:rsid w:val="000F0439"/>
    <w:rsid w:val="000F065D"/>
    <w:rsid w:val="000F11DF"/>
    <w:rsid w:val="000F1234"/>
    <w:rsid w:val="000F3445"/>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121B"/>
    <w:rsid w:val="001340EC"/>
    <w:rsid w:val="0013416E"/>
    <w:rsid w:val="00134F54"/>
    <w:rsid w:val="00135C07"/>
    <w:rsid w:val="001405C2"/>
    <w:rsid w:val="0014073B"/>
    <w:rsid w:val="00140E62"/>
    <w:rsid w:val="00141A3E"/>
    <w:rsid w:val="00141DF5"/>
    <w:rsid w:val="00142158"/>
    <w:rsid w:val="0014217D"/>
    <w:rsid w:val="0014238E"/>
    <w:rsid w:val="00142F62"/>
    <w:rsid w:val="00146187"/>
    <w:rsid w:val="00146DE3"/>
    <w:rsid w:val="0015284F"/>
    <w:rsid w:val="00153EAB"/>
    <w:rsid w:val="0015606E"/>
    <w:rsid w:val="001608EC"/>
    <w:rsid w:val="0016308F"/>
    <w:rsid w:val="0016339F"/>
    <w:rsid w:val="001634BD"/>
    <w:rsid w:val="0016523B"/>
    <w:rsid w:val="00165AAD"/>
    <w:rsid w:val="00166821"/>
    <w:rsid w:val="00166D1F"/>
    <w:rsid w:val="0016747A"/>
    <w:rsid w:val="0017149E"/>
    <w:rsid w:val="00171BC5"/>
    <w:rsid w:val="0017201E"/>
    <w:rsid w:val="00172108"/>
    <w:rsid w:val="001725FA"/>
    <w:rsid w:val="00172631"/>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6272"/>
    <w:rsid w:val="00197DFB"/>
    <w:rsid w:val="001A14E4"/>
    <w:rsid w:val="001A1AE4"/>
    <w:rsid w:val="001A396A"/>
    <w:rsid w:val="001A3D5B"/>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E4"/>
    <w:rsid w:val="001E38D7"/>
    <w:rsid w:val="001E5187"/>
    <w:rsid w:val="001E5324"/>
    <w:rsid w:val="001E66A0"/>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5B49"/>
    <w:rsid w:val="0020651A"/>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7A1"/>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677B9"/>
    <w:rsid w:val="00271071"/>
    <w:rsid w:val="002716B4"/>
    <w:rsid w:val="00272CEA"/>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FD"/>
    <w:rsid w:val="002B71B0"/>
    <w:rsid w:val="002C06B9"/>
    <w:rsid w:val="002C09E1"/>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3967"/>
    <w:rsid w:val="002E5F96"/>
    <w:rsid w:val="002E6EF3"/>
    <w:rsid w:val="002F01C0"/>
    <w:rsid w:val="002F0559"/>
    <w:rsid w:val="002F2431"/>
    <w:rsid w:val="002F277C"/>
    <w:rsid w:val="002F2C07"/>
    <w:rsid w:val="002F56B0"/>
    <w:rsid w:val="002F5814"/>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0BEF"/>
    <w:rsid w:val="00321F78"/>
    <w:rsid w:val="003223B8"/>
    <w:rsid w:val="003238A3"/>
    <w:rsid w:val="00324EF4"/>
    <w:rsid w:val="0032569B"/>
    <w:rsid w:val="00330DC3"/>
    <w:rsid w:val="0033169F"/>
    <w:rsid w:val="003320F5"/>
    <w:rsid w:val="003322F1"/>
    <w:rsid w:val="0033245B"/>
    <w:rsid w:val="00333761"/>
    <w:rsid w:val="0033520C"/>
    <w:rsid w:val="00335619"/>
    <w:rsid w:val="00335EC5"/>
    <w:rsid w:val="00337720"/>
    <w:rsid w:val="00337BE9"/>
    <w:rsid w:val="00340220"/>
    <w:rsid w:val="00342F75"/>
    <w:rsid w:val="00343E5C"/>
    <w:rsid w:val="00344075"/>
    <w:rsid w:val="003448BF"/>
    <w:rsid w:val="003457FC"/>
    <w:rsid w:val="00345817"/>
    <w:rsid w:val="00347602"/>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2B00"/>
    <w:rsid w:val="003E3235"/>
    <w:rsid w:val="003E3E1F"/>
    <w:rsid w:val="003E653A"/>
    <w:rsid w:val="003E6746"/>
    <w:rsid w:val="003F0A0B"/>
    <w:rsid w:val="003F0C03"/>
    <w:rsid w:val="003F1E47"/>
    <w:rsid w:val="003F2165"/>
    <w:rsid w:val="003F297B"/>
    <w:rsid w:val="003F40E6"/>
    <w:rsid w:val="003F6F96"/>
    <w:rsid w:val="004000B7"/>
    <w:rsid w:val="004006AB"/>
    <w:rsid w:val="00400970"/>
    <w:rsid w:val="00401A75"/>
    <w:rsid w:val="004023F2"/>
    <w:rsid w:val="00402BD0"/>
    <w:rsid w:val="004035ED"/>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2BF3"/>
    <w:rsid w:val="004B34A3"/>
    <w:rsid w:val="004B4016"/>
    <w:rsid w:val="004B4E38"/>
    <w:rsid w:val="004B6722"/>
    <w:rsid w:val="004B678C"/>
    <w:rsid w:val="004B7154"/>
    <w:rsid w:val="004B7B0B"/>
    <w:rsid w:val="004C1531"/>
    <w:rsid w:val="004C1860"/>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476A"/>
    <w:rsid w:val="004E6783"/>
    <w:rsid w:val="004E7158"/>
    <w:rsid w:val="004E7D4F"/>
    <w:rsid w:val="004F01A3"/>
    <w:rsid w:val="004F1008"/>
    <w:rsid w:val="004F176E"/>
    <w:rsid w:val="004F20C6"/>
    <w:rsid w:val="004F20F1"/>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2A52"/>
    <w:rsid w:val="00533443"/>
    <w:rsid w:val="0053378F"/>
    <w:rsid w:val="00533B7F"/>
    <w:rsid w:val="00533B9C"/>
    <w:rsid w:val="00535366"/>
    <w:rsid w:val="005361DC"/>
    <w:rsid w:val="00536E15"/>
    <w:rsid w:val="00537FAD"/>
    <w:rsid w:val="0054021E"/>
    <w:rsid w:val="0054233B"/>
    <w:rsid w:val="005462D0"/>
    <w:rsid w:val="005467AE"/>
    <w:rsid w:val="00546AC4"/>
    <w:rsid w:val="00547F42"/>
    <w:rsid w:val="00550FC6"/>
    <w:rsid w:val="00552A10"/>
    <w:rsid w:val="00552C68"/>
    <w:rsid w:val="00553B43"/>
    <w:rsid w:val="00553FB8"/>
    <w:rsid w:val="00554189"/>
    <w:rsid w:val="0055746B"/>
    <w:rsid w:val="0056188E"/>
    <w:rsid w:val="00562DE3"/>
    <w:rsid w:val="005646DE"/>
    <w:rsid w:val="00564E7E"/>
    <w:rsid w:val="00565714"/>
    <w:rsid w:val="005658E4"/>
    <w:rsid w:val="0056616E"/>
    <w:rsid w:val="00566CD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018"/>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038D"/>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2A1A"/>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618D"/>
    <w:rsid w:val="00671ABF"/>
    <w:rsid w:val="00673450"/>
    <w:rsid w:val="00674246"/>
    <w:rsid w:val="00682ED3"/>
    <w:rsid w:val="0068372A"/>
    <w:rsid w:val="00686D7C"/>
    <w:rsid w:val="006903B1"/>
    <w:rsid w:val="0069063C"/>
    <w:rsid w:val="00692AB0"/>
    <w:rsid w:val="00693005"/>
    <w:rsid w:val="00693C60"/>
    <w:rsid w:val="00694AA1"/>
    <w:rsid w:val="0069676E"/>
    <w:rsid w:val="00696DAE"/>
    <w:rsid w:val="006970D4"/>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0D25"/>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E1F8D"/>
    <w:rsid w:val="006E3720"/>
    <w:rsid w:val="006E52F5"/>
    <w:rsid w:val="006E5DFC"/>
    <w:rsid w:val="006E7CF8"/>
    <w:rsid w:val="006F054A"/>
    <w:rsid w:val="006F0F8D"/>
    <w:rsid w:val="006F392C"/>
    <w:rsid w:val="006F44D9"/>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59C0"/>
    <w:rsid w:val="00765E54"/>
    <w:rsid w:val="00766A1C"/>
    <w:rsid w:val="00767205"/>
    <w:rsid w:val="007673CB"/>
    <w:rsid w:val="00767613"/>
    <w:rsid w:val="0076781B"/>
    <w:rsid w:val="00770C42"/>
    <w:rsid w:val="007737AB"/>
    <w:rsid w:val="007743C6"/>
    <w:rsid w:val="00774F9A"/>
    <w:rsid w:val="007757AA"/>
    <w:rsid w:val="0077643C"/>
    <w:rsid w:val="00776CA5"/>
    <w:rsid w:val="007773E2"/>
    <w:rsid w:val="00780478"/>
    <w:rsid w:val="00780B5E"/>
    <w:rsid w:val="0078248B"/>
    <w:rsid w:val="0078253D"/>
    <w:rsid w:val="00783F18"/>
    <w:rsid w:val="0078758E"/>
    <w:rsid w:val="00790187"/>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3E9C"/>
    <w:rsid w:val="007B5782"/>
    <w:rsid w:val="007B5D02"/>
    <w:rsid w:val="007B62CB"/>
    <w:rsid w:val="007B6B08"/>
    <w:rsid w:val="007C048A"/>
    <w:rsid w:val="007C095C"/>
    <w:rsid w:val="007C1289"/>
    <w:rsid w:val="007C4288"/>
    <w:rsid w:val="007D03AB"/>
    <w:rsid w:val="007D06EA"/>
    <w:rsid w:val="007D07FB"/>
    <w:rsid w:val="007D2026"/>
    <w:rsid w:val="007D2C30"/>
    <w:rsid w:val="007E55A2"/>
    <w:rsid w:val="007E6B8D"/>
    <w:rsid w:val="007F08F7"/>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6742A"/>
    <w:rsid w:val="0087013C"/>
    <w:rsid w:val="00870C0F"/>
    <w:rsid w:val="008730CE"/>
    <w:rsid w:val="008732AC"/>
    <w:rsid w:val="00873649"/>
    <w:rsid w:val="00873895"/>
    <w:rsid w:val="00873CDD"/>
    <w:rsid w:val="0087447A"/>
    <w:rsid w:val="00874C40"/>
    <w:rsid w:val="00875733"/>
    <w:rsid w:val="00875D14"/>
    <w:rsid w:val="00875D9E"/>
    <w:rsid w:val="00876EFB"/>
    <w:rsid w:val="008779D4"/>
    <w:rsid w:val="008779E7"/>
    <w:rsid w:val="008805E9"/>
    <w:rsid w:val="00880C62"/>
    <w:rsid w:val="0088110C"/>
    <w:rsid w:val="008815EF"/>
    <w:rsid w:val="00881BC0"/>
    <w:rsid w:val="00883946"/>
    <w:rsid w:val="00884199"/>
    <w:rsid w:val="008844BB"/>
    <w:rsid w:val="0088593B"/>
    <w:rsid w:val="0088774A"/>
    <w:rsid w:val="008906C1"/>
    <w:rsid w:val="00890DEB"/>
    <w:rsid w:val="008916AE"/>
    <w:rsid w:val="00891C5E"/>
    <w:rsid w:val="00892550"/>
    <w:rsid w:val="008938AD"/>
    <w:rsid w:val="00893A74"/>
    <w:rsid w:val="00893AAD"/>
    <w:rsid w:val="0089557F"/>
    <w:rsid w:val="0089603A"/>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1452"/>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4F8C"/>
    <w:rsid w:val="008F63EC"/>
    <w:rsid w:val="008F6DEB"/>
    <w:rsid w:val="008F739F"/>
    <w:rsid w:val="008F7DC3"/>
    <w:rsid w:val="009002E1"/>
    <w:rsid w:val="00901708"/>
    <w:rsid w:val="00901782"/>
    <w:rsid w:val="00903213"/>
    <w:rsid w:val="009036B1"/>
    <w:rsid w:val="009042BB"/>
    <w:rsid w:val="00904EB6"/>
    <w:rsid w:val="0090551D"/>
    <w:rsid w:val="009055B2"/>
    <w:rsid w:val="009060CF"/>
    <w:rsid w:val="00906927"/>
    <w:rsid w:val="00907215"/>
    <w:rsid w:val="009107D0"/>
    <w:rsid w:val="009108A3"/>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47C83"/>
    <w:rsid w:val="009502AD"/>
    <w:rsid w:val="0095039C"/>
    <w:rsid w:val="00950A1F"/>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6D42"/>
    <w:rsid w:val="00980637"/>
    <w:rsid w:val="0098067F"/>
    <w:rsid w:val="00981C65"/>
    <w:rsid w:val="009832DC"/>
    <w:rsid w:val="00984228"/>
    <w:rsid w:val="00984EBD"/>
    <w:rsid w:val="009851CA"/>
    <w:rsid w:val="00985C57"/>
    <w:rsid w:val="009864C6"/>
    <w:rsid w:val="00986AD9"/>
    <w:rsid w:val="0099043B"/>
    <w:rsid w:val="00990634"/>
    <w:rsid w:val="00992AC4"/>
    <w:rsid w:val="00993578"/>
    <w:rsid w:val="00994DE3"/>
    <w:rsid w:val="00994E53"/>
    <w:rsid w:val="00996989"/>
    <w:rsid w:val="0099732E"/>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3895"/>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4E5F"/>
    <w:rsid w:val="00A76383"/>
    <w:rsid w:val="00A76CDC"/>
    <w:rsid w:val="00A772E6"/>
    <w:rsid w:val="00A804B1"/>
    <w:rsid w:val="00A8291E"/>
    <w:rsid w:val="00A84996"/>
    <w:rsid w:val="00A84B3C"/>
    <w:rsid w:val="00A862EB"/>
    <w:rsid w:val="00A91AB4"/>
    <w:rsid w:val="00A92235"/>
    <w:rsid w:val="00A92765"/>
    <w:rsid w:val="00A929CF"/>
    <w:rsid w:val="00A92FE4"/>
    <w:rsid w:val="00A95D41"/>
    <w:rsid w:val="00A9646E"/>
    <w:rsid w:val="00A96D82"/>
    <w:rsid w:val="00A96ECA"/>
    <w:rsid w:val="00A97810"/>
    <w:rsid w:val="00A97EB2"/>
    <w:rsid w:val="00AA0FDB"/>
    <w:rsid w:val="00AA1F7A"/>
    <w:rsid w:val="00AA3923"/>
    <w:rsid w:val="00AA39A4"/>
    <w:rsid w:val="00AA3AE4"/>
    <w:rsid w:val="00AA6879"/>
    <w:rsid w:val="00AB0372"/>
    <w:rsid w:val="00AB1C7C"/>
    <w:rsid w:val="00AB1E44"/>
    <w:rsid w:val="00AB36AC"/>
    <w:rsid w:val="00AB7DD0"/>
    <w:rsid w:val="00AC1498"/>
    <w:rsid w:val="00AC1E6E"/>
    <w:rsid w:val="00AC2394"/>
    <w:rsid w:val="00AC32ED"/>
    <w:rsid w:val="00AC3440"/>
    <w:rsid w:val="00AC346B"/>
    <w:rsid w:val="00AC3A86"/>
    <w:rsid w:val="00AC4B59"/>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5655"/>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2FD"/>
    <w:rsid w:val="00B25345"/>
    <w:rsid w:val="00B255D5"/>
    <w:rsid w:val="00B25D65"/>
    <w:rsid w:val="00B272E5"/>
    <w:rsid w:val="00B27BFD"/>
    <w:rsid w:val="00B30AA4"/>
    <w:rsid w:val="00B32A6B"/>
    <w:rsid w:val="00B32CC5"/>
    <w:rsid w:val="00B333A2"/>
    <w:rsid w:val="00B362FA"/>
    <w:rsid w:val="00B37944"/>
    <w:rsid w:val="00B37DE0"/>
    <w:rsid w:val="00B43DB8"/>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AFE"/>
    <w:rsid w:val="00B71F27"/>
    <w:rsid w:val="00B72482"/>
    <w:rsid w:val="00B73016"/>
    <w:rsid w:val="00B735BC"/>
    <w:rsid w:val="00B73D86"/>
    <w:rsid w:val="00B75BE9"/>
    <w:rsid w:val="00B7770E"/>
    <w:rsid w:val="00B77F50"/>
    <w:rsid w:val="00B80050"/>
    <w:rsid w:val="00B80D86"/>
    <w:rsid w:val="00B810C0"/>
    <w:rsid w:val="00B81437"/>
    <w:rsid w:val="00B81B7B"/>
    <w:rsid w:val="00B8423F"/>
    <w:rsid w:val="00B84811"/>
    <w:rsid w:val="00B86D76"/>
    <w:rsid w:val="00B87BA3"/>
    <w:rsid w:val="00B90739"/>
    <w:rsid w:val="00B90A34"/>
    <w:rsid w:val="00B90FBB"/>
    <w:rsid w:val="00B94DF6"/>
    <w:rsid w:val="00B979E2"/>
    <w:rsid w:val="00B97E8E"/>
    <w:rsid w:val="00BA05FE"/>
    <w:rsid w:val="00BA061F"/>
    <w:rsid w:val="00BA0699"/>
    <w:rsid w:val="00BA08D8"/>
    <w:rsid w:val="00BA0E26"/>
    <w:rsid w:val="00BA134C"/>
    <w:rsid w:val="00BA2B9C"/>
    <w:rsid w:val="00BA34E3"/>
    <w:rsid w:val="00BA5305"/>
    <w:rsid w:val="00BA56D5"/>
    <w:rsid w:val="00BA5A9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8EE"/>
    <w:rsid w:val="00C04CD0"/>
    <w:rsid w:val="00C05B60"/>
    <w:rsid w:val="00C06357"/>
    <w:rsid w:val="00C066F7"/>
    <w:rsid w:val="00C067A5"/>
    <w:rsid w:val="00C077B8"/>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16F"/>
    <w:rsid w:val="00C353E8"/>
    <w:rsid w:val="00C358B5"/>
    <w:rsid w:val="00C36C11"/>
    <w:rsid w:val="00C4076D"/>
    <w:rsid w:val="00C40C33"/>
    <w:rsid w:val="00C42A5E"/>
    <w:rsid w:val="00C452A5"/>
    <w:rsid w:val="00C4607B"/>
    <w:rsid w:val="00C47367"/>
    <w:rsid w:val="00C47445"/>
    <w:rsid w:val="00C47945"/>
    <w:rsid w:val="00C50773"/>
    <w:rsid w:val="00C54814"/>
    <w:rsid w:val="00C54CA8"/>
    <w:rsid w:val="00C57882"/>
    <w:rsid w:val="00C61939"/>
    <w:rsid w:val="00C6221B"/>
    <w:rsid w:val="00C62B01"/>
    <w:rsid w:val="00C64B3F"/>
    <w:rsid w:val="00C65FB3"/>
    <w:rsid w:val="00C66023"/>
    <w:rsid w:val="00C66BCE"/>
    <w:rsid w:val="00C66E7B"/>
    <w:rsid w:val="00C70CC7"/>
    <w:rsid w:val="00C717BE"/>
    <w:rsid w:val="00C730AC"/>
    <w:rsid w:val="00C73B36"/>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4DCD"/>
    <w:rsid w:val="00C9516D"/>
    <w:rsid w:val="00C9585B"/>
    <w:rsid w:val="00CA21C6"/>
    <w:rsid w:val="00CA2FB4"/>
    <w:rsid w:val="00CA4CE3"/>
    <w:rsid w:val="00CA5811"/>
    <w:rsid w:val="00CA5B69"/>
    <w:rsid w:val="00CA640F"/>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3D2"/>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3580"/>
    <w:rsid w:val="00D14AE6"/>
    <w:rsid w:val="00D1543B"/>
    <w:rsid w:val="00D15628"/>
    <w:rsid w:val="00D158CB"/>
    <w:rsid w:val="00D20F53"/>
    <w:rsid w:val="00D2105F"/>
    <w:rsid w:val="00D21442"/>
    <w:rsid w:val="00D22303"/>
    <w:rsid w:val="00D229F5"/>
    <w:rsid w:val="00D22E61"/>
    <w:rsid w:val="00D2538A"/>
    <w:rsid w:val="00D26E6C"/>
    <w:rsid w:val="00D322DC"/>
    <w:rsid w:val="00D32699"/>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3D0E"/>
    <w:rsid w:val="00D7434C"/>
    <w:rsid w:val="00D75DDA"/>
    <w:rsid w:val="00D76174"/>
    <w:rsid w:val="00D767F1"/>
    <w:rsid w:val="00D76B22"/>
    <w:rsid w:val="00D76EB9"/>
    <w:rsid w:val="00D83B83"/>
    <w:rsid w:val="00D8697A"/>
    <w:rsid w:val="00D86E9B"/>
    <w:rsid w:val="00D90433"/>
    <w:rsid w:val="00D91753"/>
    <w:rsid w:val="00D92A49"/>
    <w:rsid w:val="00D93E73"/>
    <w:rsid w:val="00D93FFC"/>
    <w:rsid w:val="00D95858"/>
    <w:rsid w:val="00D96BC2"/>
    <w:rsid w:val="00D9783B"/>
    <w:rsid w:val="00DA02F7"/>
    <w:rsid w:val="00DA19F8"/>
    <w:rsid w:val="00DA3056"/>
    <w:rsid w:val="00DA3E2F"/>
    <w:rsid w:val="00DA450A"/>
    <w:rsid w:val="00DA4570"/>
    <w:rsid w:val="00DA5BEF"/>
    <w:rsid w:val="00DA617D"/>
    <w:rsid w:val="00DA64EA"/>
    <w:rsid w:val="00DB03F4"/>
    <w:rsid w:val="00DB0524"/>
    <w:rsid w:val="00DB1743"/>
    <w:rsid w:val="00DB1DA1"/>
    <w:rsid w:val="00DB55A5"/>
    <w:rsid w:val="00DB6A07"/>
    <w:rsid w:val="00DB7F35"/>
    <w:rsid w:val="00DC0BB6"/>
    <w:rsid w:val="00DC1E85"/>
    <w:rsid w:val="00DC40B4"/>
    <w:rsid w:val="00DC547A"/>
    <w:rsid w:val="00DC59A4"/>
    <w:rsid w:val="00DC743D"/>
    <w:rsid w:val="00DD03C2"/>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5D93"/>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12AE"/>
    <w:rsid w:val="00E222AF"/>
    <w:rsid w:val="00E25395"/>
    <w:rsid w:val="00E25DA4"/>
    <w:rsid w:val="00E32BD6"/>
    <w:rsid w:val="00E33737"/>
    <w:rsid w:val="00E34EFA"/>
    <w:rsid w:val="00E37960"/>
    <w:rsid w:val="00E403E5"/>
    <w:rsid w:val="00E424CA"/>
    <w:rsid w:val="00E427C9"/>
    <w:rsid w:val="00E42AEC"/>
    <w:rsid w:val="00E42B40"/>
    <w:rsid w:val="00E447FC"/>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5F40"/>
    <w:rsid w:val="00E90651"/>
    <w:rsid w:val="00E90D6F"/>
    <w:rsid w:val="00E91657"/>
    <w:rsid w:val="00E91AE2"/>
    <w:rsid w:val="00E922D9"/>
    <w:rsid w:val="00E9371A"/>
    <w:rsid w:val="00E93BF4"/>
    <w:rsid w:val="00EA136B"/>
    <w:rsid w:val="00EA14D8"/>
    <w:rsid w:val="00EA2D35"/>
    <w:rsid w:val="00EA34BD"/>
    <w:rsid w:val="00EA4238"/>
    <w:rsid w:val="00EA506D"/>
    <w:rsid w:val="00EB08D0"/>
    <w:rsid w:val="00EB0C51"/>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1EF8"/>
    <w:rsid w:val="00F1441D"/>
    <w:rsid w:val="00F152CB"/>
    <w:rsid w:val="00F15C8C"/>
    <w:rsid w:val="00F16A45"/>
    <w:rsid w:val="00F16CC7"/>
    <w:rsid w:val="00F20802"/>
    <w:rsid w:val="00F2111F"/>
    <w:rsid w:val="00F21DFA"/>
    <w:rsid w:val="00F230AA"/>
    <w:rsid w:val="00F23655"/>
    <w:rsid w:val="00F238AD"/>
    <w:rsid w:val="00F24350"/>
    <w:rsid w:val="00F25E5D"/>
    <w:rsid w:val="00F30525"/>
    <w:rsid w:val="00F30DDD"/>
    <w:rsid w:val="00F31761"/>
    <w:rsid w:val="00F322F4"/>
    <w:rsid w:val="00F32DB7"/>
    <w:rsid w:val="00F357CE"/>
    <w:rsid w:val="00F35B23"/>
    <w:rsid w:val="00F35DFC"/>
    <w:rsid w:val="00F36B2B"/>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5FC7"/>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71E9"/>
    <w:rsid w:val="00FE1060"/>
    <w:rsid w:val="00FE5618"/>
    <w:rsid w:val="00FE59A7"/>
    <w:rsid w:val="00FE7675"/>
    <w:rsid w:val="00FE7677"/>
    <w:rsid w:val="00FE7BB4"/>
    <w:rsid w:val="00FF03BB"/>
    <w:rsid w:val="00FF0721"/>
    <w:rsid w:val="00FF11F5"/>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6194724">
      <w:bodyDiv w:val="1"/>
      <w:marLeft w:val="0"/>
      <w:marRight w:val="0"/>
      <w:marTop w:val="0"/>
      <w:marBottom w:val="0"/>
      <w:divBdr>
        <w:top w:val="none" w:sz="0" w:space="0" w:color="auto"/>
        <w:left w:val="none" w:sz="0" w:space="0" w:color="auto"/>
        <w:bottom w:val="none" w:sz="0" w:space="0" w:color="auto"/>
        <w:right w:val="none" w:sz="0" w:space="0" w:color="auto"/>
      </w:divBdr>
    </w:div>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341429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704986508">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858356224">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16354593">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60715963">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2.png@01D4BF9A.C4A407A0" TargetMode="External"/><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A18F-B790-43FA-B71A-9261FAE10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34</Pages>
  <Words>9409</Words>
  <Characters>53636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62920</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76</cp:revision>
  <cp:lastPrinted>2019-02-13T14:18:00Z</cp:lastPrinted>
  <dcterms:created xsi:type="dcterms:W3CDTF">2018-02-22T11:54:00Z</dcterms:created>
  <dcterms:modified xsi:type="dcterms:W3CDTF">2019-02-22T13:32:00Z</dcterms:modified>
</cp:coreProperties>
</file>